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6D10CC9D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BB7C01">
        <w:rPr>
          <w:rFonts w:ascii="Arial" w:hAnsi="Arial" w:cs="Times New Roman"/>
          <w:b/>
          <w:sz w:val="24"/>
          <w:szCs w:val="20"/>
          <w:lang w:val="en-GB" w:eastAsia="zh-CN"/>
        </w:rPr>
        <w:t>7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A51960">
        <w:rPr>
          <w:rFonts w:ascii="Arial" w:hAnsi="Arial" w:cs="Times New Roman"/>
          <w:b/>
          <w:bCs/>
          <w:sz w:val="24"/>
          <w:szCs w:val="20"/>
          <w:lang w:val="en-GB" w:eastAsia="zh-CN"/>
        </w:rPr>
        <w:t>16383</w:t>
      </w:r>
    </w:p>
    <w:bookmarkEnd w:id="0"/>
    <w:bookmarkEnd w:id="1"/>
    <w:p w14:paraId="06F8135D" w14:textId="274465B9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BB7C01">
        <w:rPr>
          <w:rFonts w:ascii="Arial" w:hAnsi="Arial" w:cs="Times New Roman"/>
          <w:b/>
          <w:sz w:val="24"/>
          <w:szCs w:val="20"/>
          <w:lang w:val="en-GB"/>
        </w:rPr>
        <w:t>Nov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BB7C01">
        <w:rPr>
          <w:rFonts w:ascii="Arial" w:hAnsi="Arial" w:cs="Times New Roman"/>
          <w:b/>
          <w:sz w:val="24"/>
          <w:szCs w:val="20"/>
          <w:lang w:val="en-GB"/>
        </w:rPr>
        <w:t>2</w:t>
      </w:r>
      <w:r w:rsidR="00BB7C01" w:rsidRPr="00BB7C01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nd</w:t>
      </w:r>
      <w:r w:rsidR="00BB7C01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>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BB7C01">
        <w:rPr>
          <w:rFonts w:ascii="Arial" w:hAnsi="Arial" w:cs="Times New Roman"/>
          <w:b/>
          <w:sz w:val="24"/>
          <w:szCs w:val="20"/>
          <w:lang w:val="en-GB"/>
        </w:rPr>
        <w:t>13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08C658D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B7C01">
        <w:rPr>
          <w:rFonts w:ascii="Arial" w:eastAsia="Calibri" w:hAnsi="Arial" w:cs="Arial"/>
          <w:b/>
          <w:bCs/>
          <w:sz w:val="24"/>
          <w:lang w:val="en-GB"/>
        </w:rPr>
        <w:t xml:space="preserve">Discussion on IAB RRM </w:t>
      </w:r>
      <w:r w:rsidR="007F6E7A">
        <w:rPr>
          <w:rFonts w:ascii="Arial" w:eastAsia="Calibri" w:hAnsi="Arial" w:cs="Arial"/>
          <w:b/>
          <w:bCs/>
          <w:sz w:val="24"/>
          <w:lang w:val="en-GB"/>
        </w:rPr>
        <w:t>test cases</w:t>
      </w:r>
    </w:p>
    <w:p w14:paraId="16C6760A" w14:textId="7C119AC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F1716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C01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C01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C01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2A645AA" w14:textId="5D4AE592" w:rsidR="002B1E33" w:rsidRDefault="002B1E33" w:rsidP="002B1E33">
      <w:pPr>
        <w:spacing w:before="240" w:after="0"/>
        <w:rPr>
          <w:lang w:val="en-GB"/>
        </w:rPr>
      </w:pPr>
      <w:r w:rsidRPr="002B1E33">
        <w:rPr>
          <w:lang w:val="en-GB"/>
        </w:rPr>
        <w:t xml:space="preserve">RAN4 </w:t>
      </w:r>
      <w:r>
        <w:rPr>
          <w:lang w:val="en-GB"/>
        </w:rPr>
        <w:t xml:space="preserve">has </w:t>
      </w:r>
      <w:r w:rsidRPr="002B1E33">
        <w:rPr>
          <w:lang w:val="en-GB"/>
        </w:rPr>
        <w:t xml:space="preserve">completed the core part of Integrated Access and Backhaul </w:t>
      </w:r>
      <w:r>
        <w:rPr>
          <w:lang w:val="en-GB"/>
        </w:rPr>
        <w:t>RRM requirements</w:t>
      </w:r>
      <w:r w:rsidRPr="002B1E33">
        <w:rPr>
          <w:lang w:val="en-GB"/>
        </w:rPr>
        <w:t xml:space="preserve"> in RAN4#96e and </w:t>
      </w:r>
      <w:r w:rsidR="00162DFC">
        <w:rPr>
          <w:lang w:val="en-GB"/>
        </w:rPr>
        <w:t xml:space="preserve">RRM </w:t>
      </w:r>
      <w:r w:rsidRPr="002B1E33">
        <w:rPr>
          <w:lang w:val="en-GB"/>
        </w:rPr>
        <w:t xml:space="preserve">performance part </w:t>
      </w:r>
      <w:r w:rsidR="004A3B28">
        <w:rPr>
          <w:lang w:val="en-GB"/>
        </w:rPr>
        <w:t xml:space="preserve">for IAB </w:t>
      </w:r>
      <w:r w:rsidRPr="002B1E33">
        <w:rPr>
          <w:lang w:val="en-GB"/>
        </w:rPr>
        <w:t>is start</w:t>
      </w:r>
      <w:r>
        <w:rPr>
          <w:lang w:val="en-GB"/>
        </w:rPr>
        <w:t>ed in this meeting</w:t>
      </w:r>
      <w:r w:rsidRPr="002B1E33">
        <w:rPr>
          <w:lang w:val="en-GB"/>
        </w:rPr>
        <w:t xml:space="preserve">. </w:t>
      </w:r>
      <w:r w:rsidR="00750902" w:rsidRPr="00750902">
        <w:rPr>
          <w:rFonts w:eastAsia="Calibri" w:cs="Times New Roman"/>
          <w:szCs w:val="20"/>
          <w:lang w:val="en-GB"/>
        </w:rPr>
        <w:t>RAN4 needs to discuss how to approach the task of defining RRM test cases</w:t>
      </w:r>
      <w:r w:rsidR="00750902">
        <w:rPr>
          <w:rFonts w:eastAsia="Calibri" w:cs="Times New Roman"/>
          <w:szCs w:val="20"/>
          <w:lang w:val="en-GB"/>
        </w:rPr>
        <w:t xml:space="preserve"> for IAB</w:t>
      </w:r>
      <w:r w:rsidR="00750902" w:rsidRPr="00750902">
        <w:rPr>
          <w:rFonts w:eastAsia="Calibri" w:cs="Times New Roman"/>
          <w:szCs w:val="20"/>
          <w:lang w:val="en-GB"/>
        </w:rPr>
        <w:t>.</w:t>
      </w:r>
    </w:p>
    <w:p w14:paraId="64BA1AE2" w14:textId="21B717DC" w:rsidR="002B1E33" w:rsidRDefault="002B1E33" w:rsidP="005C23A4">
      <w:r w:rsidRPr="002B1E33">
        <w:t xml:space="preserve">In this contribution </w:t>
      </w:r>
      <w:r>
        <w:t xml:space="preserve">we discuss and </w:t>
      </w:r>
      <w:r w:rsidR="00750902">
        <w:t>give</w:t>
      </w:r>
      <w:r>
        <w:t xml:space="preserve"> our </w:t>
      </w:r>
      <w:r w:rsidR="00750902">
        <w:t xml:space="preserve">initial </w:t>
      </w:r>
      <w:r>
        <w:t xml:space="preserve">view on </w:t>
      </w:r>
      <w:r w:rsidR="00750902">
        <w:t xml:space="preserve">how the </w:t>
      </w:r>
      <w:r w:rsidR="00162DFC">
        <w:t xml:space="preserve">IAB RRM </w:t>
      </w:r>
      <w:r>
        <w:t xml:space="preserve">performance </w:t>
      </w:r>
      <w:r w:rsidR="00750902">
        <w:t>work could be addressed</w:t>
      </w:r>
      <w:r>
        <w:t>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63615228" w14:textId="60EE5298" w:rsidR="006775B6" w:rsidRPr="00723574" w:rsidRDefault="006775B6" w:rsidP="006775B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 has defined below requirements for IAB RRM requirements in 38.174</w:t>
      </w:r>
      <w:r w:rsidR="00D23E6E">
        <w:rPr>
          <w:rFonts w:eastAsia="Calibri" w:cs="Times New Roman"/>
          <w:szCs w:val="20"/>
          <w:lang w:val="en-GB"/>
        </w:rPr>
        <w:t xml:space="preserve"> [2]</w:t>
      </w:r>
      <w:r>
        <w:rPr>
          <w:rFonts w:eastAsia="Calibri" w:cs="Times New Roman"/>
          <w:szCs w:val="20"/>
          <w:lang w:val="en-GB"/>
        </w:rPr>
        <w:t>:</w:t>
      </w:r>
    </w:p>
    <w:p w14:paraId="4B2FDCD1" w14:textId="77777777" w:rsidR="006775B6" w:rsidRDefault="006775B6" w:rsidP="006775B6">
      <w:pPr>
        <w:numPr>
          <w:ilvl w:val="0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RRC</w:t>
      </w:r>
      <w:r>
        <w:rPr>
          <w:rFonts w:eastAsia="Calibri" w:cs="Times New Roman"/>
          <w:szCs w:val="20"/>
          <w:lang w:val="en-GB"/>
        </w:rPr>
        <w:t>_CONNECTED state mobility for IAB-MTs</w:t>
      </w:r>
    </w:p>
    <w:p w14:paraId="2799B96E" w14:textId="7F429E4D" w:rsidR="006775B6" w:rsidRPr="00723574" w:rsidRDefault="00564E55" w:rsidP="006775B6">
      <w:pPr>
        <w:numPr>
          <w:ilvl w:val="1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RRC Connection Mobility </w:t>
      </w:r>
      <w:r w:rsidR="006775B6">
        <w:rPr>
          <w:rFonts w:eastAsia="Calibri" w:cs="Times New Roman"/>
          <w:szCs w:val="20"/>
          <w:lang w:val="en-GB"/>
        </w:rPr>
        <w:t>Control</w:t>
      </w:r>
    </w:p>
    <w:p w14:paraId="4F6B8867" w14:textId="77777777" w:rsidR="006775B6" w:rsidRPr="00723574" w:rsidRDefault="006775B6" w:rsidP="00564E55">
      <w:pPr>
        <w:numPr>
          <w:ilvl w:val="2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 xml:space="preserve">RRC </w:t>
      </w:r>
      <w:r>
        <w:rPr>
          <w:rFonts w:eastAsia="Calibri" w:cs="Times New Roman"/>
          <w:szCs w:val="20"/>
          <w:lang w:val="en-GB"/>
        </w:rPr>
        <w:t>re-</w:t>
      </w:r>
      <w:r w:rsidRPr="00723574">
        <w:rPr>
          <w:rFonts w:eastAsia="Calibri" w:cs="Times New Roman"/>
          <w:szCs w:val="20"/>
          <w:lang w:val="en-GB"/>
        </w:rPr>
        <w:t>establishment</w:t>
      </w:r>
    </w:p>
    <w:p w14:paraId="6B5CB048" w14:textId="77777777" w:rsidR="006775B6" w:rsidRPr="00723574" w:rsidRDefault="006775B6" w:rsidP="00564E55">
      <w:pPr>
        <w:numPr>
          <w:ilvl w:val="2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Random Access</w:t>
      </w:r>
    </w:p>
    <w:p w14:paraId="5DE3A454" w14:textId="77777777" w:rsidR="006775B6" w:rsidRPr="00723574" w:rsidRDefault="006775B6" w:rsidP="00564E55">
      <w:pPr>
        <w:numPr>
          <w:ilvl w:val="2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RRC connection Release with redirection</w:t>
      </w:r>
    </w:p>
    <w:p w14:paraId="01241332" w14:textId="77777777" w:rsidR="006775B6" w:rsidRPr="00723574" w:rsidRDefault="006775B6" w:rsidP="006775B6">
      <w:pPr>
        <w:numPr>
          <w:ilvl w:val="0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Timing</w:t>
      </w:r>
    </w:p>
    <w:p w14:paraId="60010F1F" w14:textId="77777777" w:rsidR="006775B6" w:rsidRPr="00723574" w:rsidRDefault="006775B6" w:rsidP="006775B6">
      <w:pPr>
        <w:numPr>
          <w:ilvl w:val="1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IAB-MT</w:t>
      </w:r>
      <w:r w:rsidRPr="00723574">
        <w:rPr>
          <w:rFonts w:eastAsia="Calibri" w:cs="Times New Roman"/>
          <w:szCs w:val="20"/>
          <w:lang w:val="en-GB"/>
        </w:rPr>
        <w:t xml:space="preserve"> transmit timing</w:t>
      </w:r>
    </w:p>
    <w:p w14:paraId="23AE0DAD" w14:textId="5E3F7675" w:rsidR="006775B6" w:rsidRDefault="006775B6" w:rsidP="006775B6">
      <w:pPr>
        <w:numPr>
          <w:ilvl w:val="1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IAB-MT</w:t>
      </w:r>
      <w:r w:rsidRPr="00723574">
        <w:rPr>
          <w:rFonts w:eastAsia="Calibri" w:cs="Times New Roman"/>
          <w:szCs w:val="20"/>
          <w:lang w:val="en-GB"/>
        </w:rPr>
        <w:t xml:space="preserve"> timing advance</w:t>
      </w:r>
    </w:p>
    <w:p w14:paraId="43B042BE" w14:textId="4657029F" w:rsidR="006775B6" w:rsidRPr="00723574" w:rsidRDefault="006775B6" w:rsidP="006775B6">
      <w:pPr>
        <w:numPr>
          <w:ilvl w:val="1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Cell phase synchronization accuracy</w:t>
      </w:r>
    </w:p>
    <w:p w14:paraId="674F7CFD" w14:textId="3A7DB727" w:rsidR="006775B6" w:rsidRPr="00723574" w:rsidRDefault="006775B6" w:rsidP="006775B6">
      <w:pPr>
        <w:numPr>
          <w:ilvl w:val="0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B869D9">
        <w:rPr>
          <w:rFonts w:eastAsia="Calibri" w:cs="Times New Roman"/>
          <w:szCs w:val="20"/>
          <w:lang w:val="en-GB"/>
        </w:rPr>
        <w:t>Signalling Characteristics</w:t>
      </w:r>
      <w:r w:rsidR="00564E55">
        <w:rPr>
          <w:rFonts w:eastAsia="Calibri" w:cs="Times New Roman"/>
          <w:szCs w:val="20"/>
          <w:lang w:val="en-GB"/>
        </w:rPr>
        <w:t xml:space="preserve"> for IAB-MTs</w:t>
      </w:r>
    </w:p>
    <w:p w14:paraId="6F7AD943" w14:textId="77777777" w:rsidR="006775B6" w:rsidRDefault="006775B6" w:rsidP="006775B6">
      <w:pPr>
        <w:numPr>
          <w:ilvl w:val="1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Radio Link Monitoring</w:t>
      </w:r>
    </w:p>
    <w:p w14:paraId="56EDD9FF" w14:textId="692F5A36" w:rsidR="006775B6" w:rsidRDefault="006775B6" w:rsidP="006775B6">
      <w:pPr>
        <w:numPr>
          <w:ilvl w:val="1"/>
          <w:numId w:val="1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Link Recovery procedure</w:t>
      </w:r>
    </w:p>
    <w:p w14:paraId="58A4BF8E" w14:textId="77777777" w:rsidR="00352070" w:rsidRPr="00723574" w:rsidRDefault="00352070" w:rsidP="00352070">
      <w:pPr>
        <w:ind w:left="1440" w:right="-22"/>
        <w:contextualSpacing/>
        <w:rPr>
          <w:rFonts w:eastAsia="Calibri" w:cs="Times New Roman"/>
          <w:szCs w:val="20"/>
          <w:lang w:val="en-GB"/>
        </w:rPr>
      </w:pPr>
    </w:p>
    <w:p w14:paraId="41B29080" w14:textId="153A5FF3" w:rsidR="009048F8" w:rsidRDefault="009048F8" w:rsidP="00723574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Most of the RRM requirements are defined for IAB-MT except Cell phase synchronization accuracy which is the requirement for IAB-DU. </w:t>
      </w:r>
      <w:r w:rsidR="007325FE">
        <w:rPr>
          <w:rFonts w:eastAsia="Calibri" w:cs="Times New Roman"/>
          <w:szCs w:val="20"/>
          <w:lang w:val="en-GB"/>
        </w:rPr>
        <w:t xml:space="preserve">Since the requirements of cell phase synchronization accuracy could not be tested. We will focus </w:t>
      </w:r>
      <w:r w:rsidR="00EE58A9">
        <w:rPr>
          <w:rFonts w:eastAsia="Calibri" w:cs="Times New Roman"/>
          <w:szCs w:val="20"/>
          <w:lang w:val="en-GB"/>
        </w:rPr>
        <w:t>to define</w:t>
      </w:r>
      <w:r w:rsidR="007325FE">
        <w:rPr>
          <w:rFonts w:eastAsia="Calibri" w:cs="Times New Roman"/>
          <w:szCs w:val="20"/>
          <w:lang w:val="en-GB"/>
        </w:rPr>
        <w:t xml:space="preserve"> </w:t>
      </w:r>
      <w:r w:rsidR="006F415D">
        <w:rPr>
          <w:rFonts w:eastAsia="Calibri" w:cs="Times New Roman"/>
          <w:szCs w:val="20"/>
          <w:lang w:val="en-GB"/>
        </w:rPr>
        <w:t>the</w:t>
      </w:r>
      <w:r w:rsidR="007325FE">
        <w:rPr>
          <w:rFonts w:eastAsia="Calibri" w:cs="Times New Roman"/>
          <w:szCs w:val="20"/>
          <w:lang w:val="en-GB"/>
        </w:rPr>
        <w:t xml:space="preserve"> test cases</w:t>
      </w:r>
      <w:r w:rsidR="006F415D">
        <w:rPr>
          <w:rFonts w:eastAsia="Calibri" w:cs="Times New Roman"/>
          <w:szCs w:val="20"/>
          <w:lang w:val="en-GB"/>
        </w:rPr>
        <w:t xml:space="preserve"> </w:t>
      </w:r>
      <w:r w:rsidR="00EE58A9">
        <w:rPr>
          <w:rFonts w:eastAsia="Calibri" w:cs="Times New Roman"/>
          <w:szCs w:val="20"/>
          <w:lang w:val="en-GB"/>
        </w:rPr>
        <w:t>for IAB RRM core requirements</w:t>
      </w:r>
      <w:r w:rsidR="006F415D" w:rsidRPr="006F415D">
        <w:rPr>
          <w:rFonts w:eastAsia="Calibri" w:cs="Times New Roman"/>
          <w:szCs w:val="20"/>
          <w:lang w:val="en-GB"/>
        </w:rPr>
        <w:t xml:space="preserve"> </w:t>
      </w:r>
      <w:r w:rsidR="006F415D">
        <w:rPr>
          <w:rFonts w:eastAsia="Calibri" w:cs="Times New Roman"/>
          <w:szCs w:val="20"/>
          <w:lang w:val="en-GB"/>
        </w:rPr>
        <w:t>for IAB-MT</w:t>
      </w:r>
      <w:r w:rsidR="007325FE">
        <w:rPr>
          <w:rFonts w:eastAsia="Calibri" w:cs="Times New Roman"/>
          <w:szCs w:val="20"/>
          <w:lang w:val="en-GB"/>
        </w:rPr>
        <w:t>.</w:t>
      </w:r>
    </w:p>
    <w:p w14:paraId="0BA03D27" w14:textId="0614F81D" w:rsidR="007325FE" w:rsidRPr="00723574" w:rsidRDefault="00A4376C" w:rsidP="007325FE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r>
        <w:rPr>
          <w:rFonts w:eastAsiaTheme="minorHAnsi"/>
          <w:b/>
          <w:iCs/>
          <w:szCs w:val="18"/>
        </w:rPr>
        <w:t>T</w:t>
      </w:r>
      <w:r w:rsidR="007325FE">
        <w:rPr>
          <w:rFonts w:eastAsiaTheme="minorHAnsi"/>
          <w:b/>
          <w:iCs/>
          <w:szCs w:val="18"/>
        </w:rPr>
        <w:t xml:space="preserve">est cases </w:t>
      </w:r>
      <w:r>
        <w:rPr>
          <w:rFonts w:eastAsiaTheme="minorHAnsi"/>
          <w:b/>
          <w:iCs/>
          <w:szCs w:val="18"/>
        </w:rPr>
        <w:t xml:space="preserve">for </w:t>
      </w:r>
      <w:r w:rsidR="00637D49">
        <w:rPr>
          <w:rFonts w:eastAsiaTheme="minorHAnsi"/>
          <w:b/>
          <w:iCs/>
          <w:szCs w:val="18"/>
        </w:rPr>
        <w:t xml:space="preserve">IAB </w:t>
      </w:r>
      <w:r>
        <w:rPr>
          <w:rFonts w:eastAsiaTheme="minorHAnsi"/>
          <w:b/>
          <w:iCs/>
          <w:szCs w:val="18"/>
        </w:rPr>
        <w:t xml:space="preserve">RRM requirements </w:t>
      </w:r>
      <w:r w:rsidR="007325FE">
        <w:rPr>
          <w:rFonts w:eastAsiaTheme="minorHAnsi"/>
          <w:b/>
          <w:iCs/>
          <w:szCs w:val="18"/>
        </w:rPr>
        <w:t>will be defined</w:t>
      </w:r>
      <w:r w:rsidR="00EE5757">
        <w:rPr>
          <w:rFonts w:eastAsiaTheme="minorHAnsi"/>
          <w:b/>
          <w:iCs/>
          <w:szCs w:val="18"/>
        </w:rPr>
        <w:t xml:space="preserve"> only for IAB-MT</w:t>
      </w:r>
      <w:r w:rsidR="007325FE" w:rsidRPr="00723574">
        <w:rPr>
          <w:rFonts w:eastAsiaTheme="minorHAnsi"/>
          <w:b/>
          <w:iCs/>
          <w:szCs w:val="18"/>
        </w:rPr>
        <w:t>.</w:t>
      </w:r>
    </w:p>
    <w:p w14:paraId="5FE0B1A9" w14:textId="28E85651" w:rsidR="00AE0F60" w:rsidRDefault="00382B66" w:rsidP="00AE0F60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AE0F60" w:rsidRPr="00723574">
        <w:rPr>
          <w:rFonts w:eastAsia="Calibri" w:cs="Times New Roman"/>
          <w:szCs w:val="20"/>
          <w:lang w:val="en-GB"/>
        </w:rPr>
        <w:t xml:space="preserve">general, we see that for </w:t>
      </w:r>
      <w:r w:rsidR="00AE0F60">
        <w:rPr>
          <w:rFonts w:eastAsia="Calibri" w:cs="Times New Roman"/>
          <w:szCs w:val="20"/>
          <w:lang w:val="en-GB"/>
        </w:rPr>
        <w:t>IAB</w:t>
      </w:r>
      <w:r>
        <w:rPr>
          <w:rFonts w:eastAsia="Calibri" w:cs="Times New Roman"/>
          <w:szCs w:val="20"/>
          <w:lang w:val="en-GB"/>
        </w:rPr>
        <w:t>-MT</w:t>
      </w:r>
      <w:r w:rsidR="00AE0F60" w:rsidRPr="00723574">
        <w:rPr>
          <w:rFonts w:eastAsia="Calibri" w:cs="Times New Roman"/>
          <w:szCs w:val="20"/>
          <w:lang w:val="en-GB"/>
        </w:rPr>
        <w:t xml:space="preserve"> we would need similar RRM test case coverage as we have in </w:t>
      </w:r>
      <w:r w:rsidR="00AE0F60">
        <w:rPr>
          <w:rFonts w:eastAsia="Calibri" w:cs="Times New Roman"/>
          <w:szCs w:val="20"/>
          <w:lang w:val="en-GB"/>
        </w:rPr>
        <w:t>NR</w:t>
      </w:r>
      <w:r w:rsidR="00AE0F60" w:rsidRPr="00723574">
        <w:rPr>
          <w:rFonts w:eastAsia="Calibri" w:cs="Times New Roman"/>
          <w:szCs w:val="20"/>
          <w:lang w:val="en-GB"/>
        </w:rPr>
        <w:t xml:space="preserve">. I.e. the RRM test cases available in </w:t>
      </w:r>
      <w:r w:rsidR="00AE0F60">
        <w:rPr>
          <w:rFonts w:eastAsia="Calibri" w:cs="Times New Roman"/>
          <w:szCs w:val="20"/>
          <w:lang w:val="en-GB"/>
        </w:rPr>
        <w:t>NR</w:t>
      </w:r>
      <w:r w:rsidR="00AE0F60" w:rsidRPr="00723574">
        <w:rPr>
          <w:rFonts w:eastAsia="Calibri" w:cs="Times New Roman"/>
          <w:szCs w:val="20"/>
          <w:lang w:val="en-GB"/>
        </w:rPr>
        <w:t xml:space="preserve"> can be used as baseline for </w:t>
      </w:r>
      <w:r w:rsidR="00AE0F60">
        <w:rPr>
          <w:rFonts w:eastAsia="Calibri" w:cs="Times New Roman"/>
          <w:szCs w:val="20"/>
          <w:lang w:val="en-GB"/>
        </w:rPr>
        <w:t>IAB</w:t>
      </w:r>
      <w:r w:rsidR="00AE0F60" w:rsidRPr="00723574">
        <w:rPr>
          <w:rFonts w:eastAsia="Calibri" w:cs="Times New Roman"/>
          <w:szCs w:val="20"/>
          <w:lang w:val="en-GB"/>
        </w:rPr>
        <w:t>.</w:t>
      </w:r>
    </w:p>
    <w:p w14:paraId="464207BB" w14:textId="5F6E390C" w:rsidR="00382B66" w:rsidRPr="00723574" w:rsidRDefault="00382B66" w:rsidP="00382B6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Since the RRM requirements for IAB-MT are well similar with the RRM requirements for UE in 38.133 [3], o</w:t>
      </w:r>
      <w:r w:rsidRPr="00723574">
        <w:rPr>
          <w:rFonts w:eastAsia="Calibri" w:cs="Times New Roman"/>
          <w:szCs w:val="20"/>
          <w:lang w:val="en-GB"/>
        </w:rPr>
        <w:t xml:space="preserve">n high level we see a need for following RRM test cases </w:t>
      </w:r>
      <w:r>
        <w:rPr>
          <w:rFonts w:eastAsia="Calibri" w:cs="Times New Roman"/>
          <w:szCs w:val="20"/>
          <w:lang w:val="en-GB"/>
        </w:rPr>
        <w:t xml:space="preserve">for IAB-MT </w:t>
      </w:r>
      <w:r w:rsidRPr="00723574">
        <w:rPr>
          <w:rFonts w:eastAsia="Calibri" w:cs="Times New Roman"/>
          <w:szCs w:val="20"/>
          <w:lang w:val="en-GB"/>
        </w:rPr>
        <w:t xml:space="preserve">where </w:t>
      </w:r>
      <w:r>
        <w:rPr>
          <w:rFonts w:eastAsia="Calibri" w:cs="Times New Roman"/>
          <w:szCs w:val="20"/>
          <w:lang w:val="en-GB"/>
        </w:rPr>
        <w:t>NR RRM</w:t>
      </w:r>
      <w:r w:rsidRPr="00723574">
        <w:rPr>
          <w:rFonts w:eastAsia="Calibri" w:cs="Times New Roman"/>
          <w:szCs w:val="20"/>
          <w:lang w:val="en-GB"/>
        </w:rPr>
        <w:t xml:space="preserve"> tests could be used as baseline</w:t>
      </w:r>
      <w:r>
        <w:rPr>
          <w:rFonts w:eastAsia="Calibri" w:cs="Times New Roman"/>
          <w:szCs w:val="20"/>
          <w:lang w:val="en-GB"/>
        </w:rPr>
        <w:t>:</w:t>
      </w:r>
    </w:p>
    <w:p w14:paraId="6E2F6813" w14:textId="77777777" w:rsidR="00382B66" w:rsidRPr="00723574" w:rsidRDefault="00382B66" w:rsidP="00382B66">
      <w:pPr>
        <w:numPr>
          <w:ilvl w:val="0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RRC Connected mode mobility</w:t>
      </w:r>
      <w:r>
        <w:rPr>
          <w:rFonts w:eastAsia="Calibri" w:cs="Times New Roman"/>
          <w:szCs w:val="20"/>
          <w:lang w:val="en-GB"/>
        </w:rPr>
        <w:t xml:space="preserve"> control</w:t>
      </w:r>
    </w:p>
    <w:p w14:paraId="2BB88442" w14:textId="77777777" w:rsidR="00382B66" w:rsidRPr="00723574" w:rsidRDefault="00382B66" w:rsidP="00382B66">
      <w:pPr>
        <w:numPr>
          <w:ilvl w:val="1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 xml:space="preserve">RRC </w:t>
      </w:r>
      <w:r>
        <w:rPr>
          <w:rFonts w:eastAsia="Calibri" w:cs="Times New Roman"/>
          <w:szCs w:val="20"/>
          <w:lang w:val="en-GB"/>
        </w:rPr>
        <w:t>re-</w:t>
      </w:r>
      <w:r w:rsidRPr="00723574">
        <w:rPr>
          <w:rFonts w:eastAsia="Calibri" w:cs="Times New Roman"/>
          <w:szCs w:val="20"/>
          <w:lang w:val="en-GB"/>
        </w:rPr>
        <w:t>establishment</w:t>
      </w:r>
    </w:p>
    <w:p w14:paraId="60B6AC6B" w14:textId="77777777" w:rsidR="00382B66" w:rsidRPr="00723574" w:rsidRDefault="00382B66" w:rsidP="00382B66">
      <w:pPr>
        <w:numPr>
          <w:ilvl w:val="1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Random Access</w:t>
      </w:r>
    </w:p>
    <w:p w14:paraId="5B0179E8" w14:textId="77777777" w:rsidR="00382B66" w:rsidRPr="00723574" w:rsidRDefault="00382B66" w:rsidP="00382B66">
      <w:pPr>
        <w:numPr>
          <w:ilvl w:val="1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RRC connection Release with redirection</w:t>
      </w:r>
    </w:p>
    <w:p w14:paraId="62AEAED8" w14:textId="77777777" w:rsidR="00382B66" w:rsidRPr="00723574" w:rsidRDefault="00382B66" w:rsidP="00382B66">
      <w:pPr>
        <w:numPr>
          <w:ilvl w:val="0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723574">
        <w:rPr>
          <w:rFonts w:eastAsia="Calibri" w:cs="Times New Roman"/>
          <w:szCs w:val="20"/>
          <w:lang w:val="en-GB"/>
        </w:rPr>
        <w:t>Timing</w:t>
      </w:r>
    </w:p>
    <w:p w14:paraId="62766E15" w14:textId="77777777" w:rsidR="00382B66" w:rsidRPr="00723574" w:rsidRDefault="00382B66" w:rsidP="00382B66">
      <w:pPr>
        <w:numPr>
          <w:ilvl w:val="1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IAB-MT</w:t>
      </w:r>
      <w:r w:rsidRPr="00723574">
        <w:rPr>
          <w:rFonts w:eastAsia="Calibri" w:cs="Times New Roman"/>
          <w:szCs w:val="20"/>
          <w:lang w:val="en-GB"/>
        </w:rPr>
        <w:t xml:space="preserve"> transmit timing</w:t>
      </w:r>
    </w:p>
    <w:p w14:paraId="7469FEC2" w14:textId="77777777" w:rsidR="00382B66" w:rsidRPr="00723574" w:rsidRDefault="00382B66" w:rsidP="00382B66">
      <w:pPr>
        <w:numPr>
          <w:ilvl w:val="1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IAB-MT</w:t>
      </w:r>
      <w:r w:rsidRPr="00723574">
        <w:rPr>
          <w:rFonts w:eastAsia="Calibri" w:cs="Times New Roman"/>
          <w:szCs w:val="20"/>
          <w:lang w:val="en-GB"/>
        </w:rPr>
        <w:t xml:space="preserve"> timing advance</w:t>
      </w:r>
    </w:p>
    <w:p w14:paraId="215F3E3B" w14:textId="77777777" w:rsidR="00382B66" w:rsidRPr="00723574" w:rsidRDefault="00382B66" w:rsidP="00382B66">
      <w:pPr>
        <w:numPr>
          <w:ilvl w:val="0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 w:rsidRPr="00B869D9">
        <w:rPr>
          <w:rFonts w:eastAsia="Calibri" w:cs="Times New Roman"/>
          <w:szCs w:val="20"/>
          <w:lang w:val="en-GB"/>
        </w:rPr>
        <w:t>Signalling Characteristics</w:t>
      </w:r>
    </w:p>
    <w:p w14:paraId="5DE32AAF" w14:textId="77777777" w:rsidR="00382B66" w:rsidRDefault="00382B66" w:rsidP="00382B66">
      <w:pPr>
        <w:numPr>
          <w:ilvl w:val="1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Radio Link Monitoring</w:t>
      </w:r>
    </w:p>
    <w:p w14:paraId="6EE95FD3" w14:textId="2618EAF3" w:rsidR="00382B66" w:rsidRDefault="00382B66" w:rsidP="00382B66">
      <w:pPr>
        <w:numPr>
          <w:ilvl w:val="1"/>
          <w:numId w:val="15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Beam Failure Detection and Link Recovery procedures</w:t>
      </w:r>
      <w:r w:rsidRPr="00723574">
        <w:rPr>
          <w:rFonts w:eastAsia="Calibri" w:cs="Times New Roman"/>
          <w:szCs w:val="20"/>
          <w:lang w:val="en-GB"/>
        </w:rPr>
        <w:t xml:space="preserve"> </w:t>
      </w:r>
    </w:p>
    <w:p w14:paraId="5CBC4754" w14:textId="77777777" w:rsidR="00C77CD6" w:rsidRPr="00723574" w:rsidRDefault="00C77CD6" w:rsidP="00C77CD6">
      <w:pPr>
        <w:ind w:right="-22"/>
        <w:contextualSpacing/>
        <w:rPr>
          <w:rFonts w:eastAsia="Calibri" w:cs="Times New Roman"/>
          <w:szCs w:val="20"/>
          <w:lang w:val="en-GB"/>
        </w:rPr>
      </w:pPr>
    </w:p>
    <w:p w14:paraId="73C9F716" w14:textId="0929FB94" w:rsidR="00C30B52" w:rsidRDefault="00C30B52" w:rsidP="00C30B52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r w:rsidRPr="00723574">
        <w:rPr>
          <w:rFonts w:eastAsiaTheme="minorHAnsi"/>
          <w:b/>
          <w:iCs/>
          <w:szCs w:val="18"/>
        </w:rPr>
        <w:t xml:space="preserve">Use </w:t>
      </w:r>
      <w:r>
        <w:rPr>
          <w:rFonts w:eastAsiaTheme="minorHAnsi"/>
          <w:b/>
          <w:iCs/>
          <w:szCs w:val="18"/>
        </w:rPr>
        <w:t>NR</w:t>
      </w:r>
      <w:r w:rsidRPr="00723574">
        <w:rPr>
          <w:rFonts w:eastAsiaTheme="minorHAnsi"/>
          <w:b/>
          <w:iCs/>
          <w:szCs w:val="18"/>
        </w:rPr>
        <w:t xml:space="preserve"> RRM test cases as baseline for </w:t>
      </w:r>
      <w:r>
        <w:rPr>
          <w:rFonts w:eastAsiaTheme="minorHAnsi"/>
          <w:b/>
          <w:iCs/>
          <w:szCs w:val="18"/>
        </w:rPr>
        <w:t>IAB-MT</w:t>
      </w:r>
      <w:r w:rsidRPr="00723574">
        <w:rPr>
          <w:rFonts w:eastAsiaTheme="minorHAnsi"/>
          <w:b/>
          <w:iCs/>
          <w:szCs w:val="18"/>
        </w:rPr>
        <w:t xml:space="preserve"> RRM test cases.</w:t>
      </w:r>
    </w:p>
    <w:p w14:paraId="0B46104C" w14:textId="0054F6C6" w:rsidR="00C77CD6" w:rsidRDefault="00C77CD6" w:rsidP="00C77CD6">
      <w:pPr>
        <w:ind w:right="-22"/>
        <w:rPr>
          <w:rFonts w:eastAsia="Calibri" w:cs="Times New Roman"/>
          <w:szCs w:val="20"/>
          <w:lang w:val="en-GB"/>
        </w:rPr>
      </w:pPr>
      <w:r w:rsidRPr="00C77CD6">
        <w:rPr>
          <w:rFonts w:eastAsia="Calibri" w:cs="Times New Roman"/>
          <w:szCs w:val="20"/>
          <w:lang w:val="en-GB"/>
        </w:rPr>
        <w:t>When looking at the</w:t>
      </w:r>
      <w:r>
        <w:rPr>
          <w:rFonts w:eastAsia="Calibri" w:cs="Times New Roman"/>
          <w:szCs w:val="20"/>
          <w:lang w:val="en-GB"/>
        </w:rPr>
        <w:t xml:space="preserve"> IAB-MT</w:t>
      </w:r>
      <w:r w:rsidR="00740DE8">
        <w:rPr>
          <w:rFonts w:eastAsia="Calibri" w:cs="Times New Roman"/>
          <w:szCs w:val="20"/>
          <w:lang w:val="en-GB"/>
        </w:rPr>
        <w:t xml:space="preserve"> RRM</w:t>
      </w:r>
      <w:r w:rsidRPr="00C77CD6">
        <w:rPr>
          <w:rFonts w:eastAsia="Calibri" w:cs="Times New Roman"/>
          <w:szCs w:val="20"/>
          <w:lang w:val="en-GB"/>
        </w:rPr>
        <w:t xml:space="preserve"> core req</w:t>
      </w:r>
      <w:r>
        <w:rPr>
          <w:rFonts w:eastAsia="Calibri" w:cs="Times New Roman"/>
          <w:szCs w:val="20"/>
          <w:lang w:val="en-GB"/>
        </w:rPr>
        <w:t>uirements for each topic</w:t>
      </w:r>
      <w:r w:rsidR="00740DE8">
        <w:rPr>
          <w:rFonts w:eastAsia="Calibri" w:cs="Times New Roman"/>
          <w:szCs w:val="20"/>
          <w:lang w:val="en-GB"/>
        </w:rPr>
        <w:t>, most of the core requirements follow NR RRM requirements with some extending</w:t>
      </w:r>
      <w:r w:rsidR="007E3D19">
        <w:rPr>
          <w:rFonts w:eastAsia="Calibri" w:cs="Times New Roman"/>
          <w:szCs w:val="20"/>
          <w:lang w:val="en-GB"/>
        </w:rPr>
        <w:t xml:space="preserve">. Another difference is that </w:t>
      </w:r>
      <w:r w:rsidR="000A6AF7">
        <w:rPr>
          <w:rFonts w:eastAsia="Calibri" w:cs="Times New Roman"/>
          <w:szCs w:val="20"/>
          <w:lang w:val="en-GB"/>
        </w:rPr>
        <w:t>IAB-MT RRM core requirements</w:t>
      </w:r>
      <w:r w:rsidR="007E3D19">
        <w:rPr>
          <w:rFonts w:eastAsia="Calibri" w:cs="Times New Roman"/>
          <w:szCs w:val="20"/>
          <w:lang w:val="en-GB"/>
        </w:rPr>
        <w:t xml:space="preserve"> are defined only for non-DRX mode</w:t>
      </w:r>
      <w:r w:rsidR="00740DE8">
        <w:rPr>
          <w:rFonts w:eastAsia="Calibri" w:cs="Times New Roman"/>
          <w:szCs w:val="20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827"/>
        <w:gridCol w:w="3385"/>
      </w:tblGrid>
      <w:tr w:rsidR="00773EF6" w14:paraId="022F5EF9" w14:textId="77777777" w:rsidTr="00773EF6">
        <w:tc>
          <w:tcPr>
            <w:tcW w:w="6232" w:type="dxa"/>
            <w:gridSpan w:val="2"/>
          </w:tcPr>
          <w:p w14:paraId="596F162D" w14:textId="2497ABC2" w:rsidR="00773EF6" w:rsidRPr="00773EF6" w:rsidRDefault="00773EF6" w:rsidP="00773EF6">
            <w:pPr>
              <w:ind w:right="-22"/>
              <w:contextualSpacing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r w:rsidRPr="00773EF6">
              <w:rPr>
                <w:rFonts w:eastAsia="Calibri" w:cs="Times New Roman"/>
                <w:b/>
                <w:bCs/>
                <w:szCs w:val="20"/>
                <w:lang w:val="en-GB"/>
              </w:rPr>
              <w:t>IAB-MT RRM core requirements</w:t>
            </w:r>
          </w:p>
        </w:tc>
        <w:tc>
          <w:tcPr>
            <w:tcW w:w="3385" w:type="dxa"/>
          </w:tcPr>
          <w:p w14:paraId="15B2A9F8" w14:textId="3496121E" w:rsidR="00773EF6" w:rsidRPr="00773EF6" w:rsidRDefault="00773EF6" w:rsidP="00773EF6">
            <w:pPr>
              <w:ind w:right="-22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r w:rsidRPr="00773EF6">
              <w:rPr>
                <w:rFonts w:eastAsia="Calibri" w:cs="Times New Roman"/>
                <w:b/>
                <w:bCs/>
                <w:szCs w:val="20"/>
                <w:lang w:val="en-GB"/>
              </w:rPr>
              <w:t>Compared to NR core requirements</w:t>
            </w:r>
          </w:p>
        </w:tc>
      </w:tr>
      <w:tr w:rsidR="00C77CD6" w14:paraId="235A1DBE" w14:textId="77777777" w:rsidTr="00740DE8">
        <w:tc>
          <w:tcPr>
            <w:tcW w:w="2405" w:type="dxa"/>
            <w:vMerge w:val="restart"/>
          </w:tcPr>
          <w:p w14:paraId="693A8EB6" w14:textId="37A91148" w:rsidR="00C77CD6" w:rsidRPr="00C77CD6" w:rsidRDefault="00C77CD6" w:rsidP="00C77CD6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RRC Connected mode mobility</w:t>
            </w:r>
            <w:r>
              <w:rPr>
                <w:rFonts w:eastAsia="Calibri" w:cs="Times New Roman"/>
                <w:szCs w:val="20"/>
                <w:lang w:val="en-GB"/>
              </w:rPr>
              <w:t xml:space="preserve"> control</w:t>
            </w:r>
          </w:p>
        </w:tc>
        <w:tc>
          <w:tcPr>
            <w:tcW w:w="3827" w:type="dxa"/>
          </w:tcPr>
          <w:p w14:paraId="0681D940" w14:textId="5D97992A" w:rsidR="00C77CD6" w:rsidRDefault="00C77CD6" w:rsidP="00C77CD6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 xml:space="preserve">RRC </w:t>
            </w:r>
            <w:r>
              <w:rPr>
                <w:rFonts w:eastAsia="Calibri" w:cs="Times New Roman"/>
                <w:szCs w:val="20"/>
                <w:lang w:val="en-GB"/>
              </w:rPr>
              <w:t>re-</w:t>
            </w:r>
            <w:r w:rsidRPr="00723574">
              <w:rPr>
                <w:rFonts w:eastAsia="Calibri" w:cs="Times New Roman"/>
                <w:szCs w:val="20"/>
                <w:lang w:val="en-GB"/>
              </w:rPr>
              <w:t>establishment</w:t>
            </w:r>
          </w:p>
        </w:tc>
        <w:tc>
          <w:tcPr>
            <w:tcW w:w="3385" w:type="dxa"/>
          </w:tcPr>
          <w:p w14:paraId="3E782CC4" w14:textId="5B1612C7" w:rsidR="00C77CD6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Almost same, the delay requirements</w:t>
            </w:r>
            <w:r w:rsidR="00773EF6">
              <w:rPr>
                <w:rFonts w:eastAsia="Calibri" w:cs="Times New Roman"/>
                <w:szCs w:val="20"/>
                <w:lang w:val="en-GB"/>
              </w:rPr>
              <w:t xml:space="preserve"> extended.</w:t>
            </w:r>
          </w:p>
        </w:tc>
      </w:tr>
      <w:tr w:rsidR="00C77CD6" w14:paraId="69CB65EB" w14:textId="77777777" w:rsidTr="00740DE8">
        <w:tc>
          <w:tcPr>
            <w:tcW w:w="2405" w:type="dxa"/>
            <w:vMerge/>
          </w:tcPr>
          <w:p w14:paraId="5333C0E3" w14:textId="77777777" w:rsidR="00C77CD6" w:rsidRDefault="00C77CD6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037BAD85" w14:textId="22C4A959" w:rsidR="00C77CD6" w:rsidRPr="00C77CD6" w:rsidRDefault="00C77CD6" w:rsidP="00C77CD6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Random Access</w:t>
            </w:r>
          </w:p>
        </w:tc>
        <w:tc>
          <w:tcPr>
            <w:tcW w:w="3385" w:type="dxa"/>
          </w:tcPr>
          <w:p w14:paraId="3ABC6DC1" w14:textId="11D242A8" w:rsidR="00C77CD6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Same</w:t>
            </w:r>
          </w:p>
        </w:tc>
      </w:tr>
      <w:tr w:rsidR="00C77CD6" w14:paraId="737F3D37" w14:textId="77777777" w:rsidTr="00740DE8">
        <w:tc>
          <w:tcPr>
            <w:tcW w:w="2405" w:type="dxa"/>
            <w:vMerge/>
          </w:tcPr>
          <w:p w14:paraId="3B11DC49" w14:textId="77777777" w:rsidR="00C77CD6" w:rsidRDefault="00C77CD6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373CB649" w14:textId="0003BE25" w:rsidR="00C77CD6" w:rsidRDefault="00C77CD6" w:rsidP="00C77CD6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RRC connection Release with redirection</w:t>
            </w:r>
          </w:p>
        </w:tc>
        <w:tc>
          <w:tcPr>
            <w:tcW w:w="3385" w:type="dxa"/>
          </w:tcPr>
          <w:p w14:paraId="2F29D939" w14:textId="72CCD826" w:rsidR="00C77CD6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Extend the delay requirements</w:t>
            </w:r>
          </w:p>
        </w:tc>
      </w:tr>
      <w:tr w:rsidR="00740DE8" w14:paraId="65EC20D6" w14:textId="77777777" w:rsidTr="00740DE8">
        <w:tc>
          <w:tcPr>
            <w:tcW w:w="2405" w:type="dxa"/>
            <w:vMerge w:val="restart"/>
          </w:tcPr>
          <w:p w14:paraId="735C5B31" w14:textId="4A05EF55" w:rsidR="00740DE8" w:rsidRPr="00C77CD6" w:rsidRDefault="00740DE8" w:rsidP="00C77CD6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Timing</w:t>
            </w:r>
          </w:p>
        </w:tc>
        <w:tc>
          <w:tcPr>
            <w:tcW w:w="3827" w:type="dxa"/>
          </w:tcPr>
          <w:p w14:paraId="39235C84" w14:textId="3254CA7A" w:rsidR="00740DE8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IAB-MT </w:t>
            </w:r>
            <w:r w:rsidRPr="00723574">
              <w:rPr>
                <w:rFonts w:eastAsia="Calibri" w:cs="Times New Roman"/>
                <w:szCs w:val="20"/>
                <w:lang w:val="en-GB"/>
              </w:rPr>
              <w:t>transmit timing</w:t>
            </w:r>
          </w:p>
        </w:tc>
        <w:tc>
          <w:tcPr>
            <w:tcW w:w="3385" w:type="dxa"/>
          </w:tcPr>
          <w:p w14:paraId="1CA0F538" w14:textId="1A60935E" w:rsidR="00740DE8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Almost same, only </w:t>
            </w:r>
            <w:r w:rsidR="00FA5962">
              <w:rPr>
                <w:rFonts w:eastAsia="Calibri" w:cs="Times New Roman"/>
                <w:szCs w:val="20"/>
                <w:lang w:val="en-GB"/>
              </w:rPr>
              <w:t xml:space="preserve">in </w:t>
            </w:r>
            <w:r>
              <w:rPr>
                <w:rFonts w:eastAsia="Calibri" w:cs="Times New Roman"/>
                <w:szCs w:val="20"/>
                <w:lang w:val="en-GB"/>
              </w:rPr>
              <w:t>non-DRX mode</w:t>
            </w:r>
          </w:p>
        </w:tc>
      </w:tr>
      <w:tr w:rsidR="00740DE8" w14:paraId="4C8B14A0" w14:textId="77777777" w:rsidTr="00740DE8">
        <w:tc>
          <w:tcPr>
            <w:tcW w:w="2405" w:type="dxa"/>
            <w:vMerge/>
          </w:tcPr>
          <w:p w14:paraId="2EB49420" w14:textId="77777777" w:rsidR="00740DE8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60A3560E" w14:textId="12785031" w:rsidR="00740DE8" w:rsidRPr="00740DE8" w:rsidRDefault="00740DE8" w:rsidP="00740DE8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IAB-MT</w:t>
            </w:r>
            <w:r w:rsidRPr="00723574">
              <w:rPr>
                <w:rFonts w:eastAsia="Calibri" w:cs="Times New Roman"/>
                <w:szCs w:val="20"/>
                <w:lang w:val="en-GB"/>
              </w:rPr>
              <w:t xml:space="preserve"> timing advance</w:t>
            </w:r>
          </w:p>
        </w:tc>
        <w:tc>
          <w:tcPr>
            <w:tcW w:w="3385" w:type="dxa"/>
          </w:tcPr>
          <w:p w14:paraId="75294D65" w14:textId="35F30660" w:rsidR="00740DE8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Same</w:t>
            </w:r>
          </w:p>
        </w:tc>
      </w:tr>
      <w:tr w:rsidR="00740DE8" w14:paraId="75A49F26" w14:textId="77777777" w:rsidTr="00740DE8">
        <w:tc>
          <w:tcPr>
            <w:tcW w:w="2405" w:type="dxa"/>
            <w:vMerge w:val="restart"/>
          </w:tcPr>
          <w:p w14:paraId="3989E144" w14:textId="244C9784" w:rsidR="00740DE8" w:rsidRPr="00740DE8" w:rsidRDefault="00740DE8" w:rsidP="00740DE8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B869D9">
              <w:rPr>
                <w:rFonts w:eastAsia="Calibri" w:cs="Times New Roman"/>
                <w:szCs w:val="20"/>
                <w:lang w:val="en-GB"/>
              </w:rPr>
              <w:t>Signalling Characteristics</w:t>
            </w:r>
          </w:p>
        </w:tc>
        <w:tc>
          <w:tcPr>
            <w:tcW w:w="3827" w:type="dxa"/>
          </w:tcPr>
          <w:p w14:paraId="7993AE23" w14:textId="691A1F71" w:rsidR="00740DE8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Radio Link Monitoring</w:t>
            </w:r>
          </w:p>
        </w:tc>
        <w:tc>
          <w:tcPr>
            <w:tcW w:w="3385" w:type="dxa"/>
          </w:tcPr>
          <w:p w14:paraId="318C7D03" w14:textId="4565217E" w:rsidR="00740DE8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Almost same, the evaluation period</w:t>
            </w:r>
            <w:r w:rsidR="00773EF6">
              <w:rPr>
                <w:rFonts w:eastAsia="Calibri" w:cs="Times New Roman"/>
                <w:szCs w:val="20"/>
                <w:lang w:val="en-GB"/>
              </w:rPr>
              <w:t xml:space="preserve"> extended</w:t>
            </w:r>
            <w:r w:rsidR="00FA5962">
              <w:rPr>
                <w:rFonts w:eastAsia="Calibri" w:cs="Times New Roman"/>
                <w:szCs w:val="20"/>
                <w:lang w:val="en-GB"/>
              </w:rPr>
              <w:t>, only in non-DRX mode</w:t>
            </w:r>
          </w:p>
        </w:tc>
      </w:tr>
      <w:tr w:rsidR="00740DE8" w14:paraId="39E4A6E2" w14:textId="77777777" w:rsidTr="00740DE8">
        <w:tc>
          <w:tcPr>
            <w:tcW w:w="2405" w:type="dxa"/>
            <w:vMerge/>
          </w:tcPr>
          <w:p w14:paraId="6FAB4443" w14:textId="77777777" w:rsidR="00740DE8" w:rsidRDefault="00740DE8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1866BE8B" w14:textId="3C78E5A8" w:rsidR="00740DE8" w:rsidRDefault="00740DE8" w:rsidP="00740DE8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Beam Failure Detection and Link Recovery procedures</w:t>
            </w:r>
            <w:r w:rsidRPr="00723574">
              <w:rPr>
                <w:rFonts w:eastAsia="Calibri" w:cs="Times New Roman"/>
                <w:szCs w:val="20"/>
                <w:lang w:val="en-GB"/>
              </w:rPr>
              <w:t xml:space="preserve"> </w:t>
            </w:r>
          </w:p>
        </w:tc>
        <w:tc>
          <w:tcPr>
            <w:tcW w:w="3385" w:type="dxa"/>
          </w:tcPr>
          <w:p w14:paraId="38A8AC3E" w14:textId="72686AFF" w:rsidR="00740DE8" w:rsidRDefault="00FA5962" w:rsidP="00C77CD6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Almost same, the evaluation period</w:t>
            </w:r>
            <w:r w:rsidR="00773EF6">
              <w:rPr>
                <w:rFonts w:eastAsia="Calibri" w:cs="Times New Roman"/>
                <w:szCs w:val="20"/>
                <w:lang w:val="en-GB"/>
              </w:rPr>
              <w:t xml:space="preserve"> extended,</w:t>
            </w:r>
            <w:r>
              <w:rPr>
                <w:rFonts w:eastAsia="Calibri" w:cs="Times New Roman"/>
                <w:szCs w:val="20"/>
                <w:lang w:val="en-GB"/>
              </w:rPr>
              <w:t xml:space="preserve"> only in non-DRX mode</w:t>
            </w:r>
          </w:p>
        </w:tc>
      </w:tr>
    </w:tbl>
    <w:p w14:paraId="0E7EFCBC" w14:textId="1001BD9E" w:rsidR="00C77CD6" w:rsidRDefault="00C77CD6" w:rsidP="00C77CD6">
      <w:pPr>
        <w:ind w:right="-22"/>
        <w:rPr>
          <w:rFonts w:eastAsia="Calibri" w:cs="Times New Roman"/>
          <w:szCs w:val="20"/>
          <w:lang w:val="en-GB"/>
        </w:rPr>
      </w:pPr>
    </w:p>
    <w:p w14:paraId="2DD42034" w14:textId="1C34BE18" w:rsidR="00173970" w:rsidRDefault="00173970" w:rsidP="00C77CD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From the comparison, it is not necessary to define totally new RRM test cases for IAB-MT, we could specify the specification structure for IAB-MT RRM performance work with the following approach: </w:t>
      </w:r>
    </w:p>
    <w:p w14:paraId="2E6D5678" w14:textId="4D7BCA2B" w:rsidR="00173970" w:rsidRDefault="00173970" w:rsidP="00173970">
      <w:pPr>
        <w:pStyle w:val="ListParagraph"/>
        <w:numPr>
          <w:ilvl w:val="0"/>
          <w:numId w:val="24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 the same requirements as NR: Add reference to the related NR test cases.</w:t>
      </w:r>
    </w:p>
    <w:p w14:paraId="1BE148E2" w14:textId="5579C6F8" w:rsidR="004754A6" w:rsidRPr="00D54EFE" w:rsidRDefault="00173970" w:rsidP="00D865E3">
      <w:pPr>
        <w:pStyle w:val="ListParagraph"/>
        <w:numPr>
          <w:ilvl w:val="0"/>
          <w:numId w:val="24"/>
        </w:numPr>
        <w:ind w:right="-22"/>
        <w:rPr>
          <w:lang w:val="en-GB"/>
        </w:rPr>
      </w:pPr>
      <w:r w:rsidRPr="00D54EFE">
        <w:rPr>
          <w:rFonts w:eastAsia="Calibri" w:cs="Times New Roman"/>
          <w:szCs w:val="20"/>
          <w:lang w:val="en-GB"/>
        </w:rPr>
        <w:t xml:space="preserve">For the extended requirements as NR: Add reference to the related NR test cases, with the </w:t>
      </w:r>
      <w:r w:rsidR="00D54EFE" w:rsidRPr="00D54EFE">
        <w:rPr>
          <w:rFonts w:eastAsia="Calibri" w:cs="Times New Roman"/>
          <w:szCs w:val="20"/>
          <w:lang w:val="en-GB"/>
        </w:rPr>
        <w:t xml:space="preserve">clarification that the </w:t>
      </w:r>
      <w:r w:rsidRPr="00D54EFE">
        <w:rPr>
          <w:rFonts w:eastAsia="Calibri" w:cs="Times New Roman"/>
          <w:szCs w:val="20"/>
          <w:lang w:val="en-GB"/>
        </w:rPr>
        <w:t xml:space="preserve">delay or evaluation period </w:t>
      </w:r>
      <w:r w:rsidR="00D54EFE" w:rsidRPr="00D54EFE">
        <w:rPr>
          <w:rFonts w:eastAsia="Calibri" w:cs="Times New Roman"/>
          <w:szCs w:val="20"/>
          <w:lang w:val="en-GB"/>
        </w:rPr>
        <w:t xml:space="preserve">in the test cases should be replaced by the specific delay or evaluation period </w:t>
      </w:r>
      <w:r w:rsidRPr="00D54EFE">
        <w:rPr>
          <w:rFonts w:eastAsia="Calibri" w:cs="Times New Roman"/>
          <w:szCs w:val="20"/>
          <w:lang w:val="en-GB"/>
        </w:rPr>
        <w:t>for IAB-MT.</w:t>
      </w:r>
    </w:p>
    <w:p w14:paraId="7E7F8E8A" w14:textId="08DFAD0A" w:rsidR="00D54EFE" w:rsidRDefault="00D54EFE" w:rsidP="00D54EFE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r>
        <w:rPr>
          <w:rFonts w:eastAsiaTheme="minorHAnsi"/>
          <w:b/>
          <w:iCs/>
          <w:szCs w:val="18"/>
        </w:rPr>
        <w:t xml:space="preserve">Specify IAB-MT RRM test cases </w:t>
      </w:r>
      <w:r w:rsidR="00637D49">
        <w:rPr>
          <w:rFonts w:eastAsiaTheme="minorHAnsi"/>
          <w:b/>
          <w:iCs/>
          <w:szCs w:val="18"/>
        </w:rPr>
        <w:t>with</w:t>
      </w:r>
      <w:r w:rsidR="00A51960">
        <w:rPr>
          <w:rFonts w:eastAsiaTheme="minorHAnsi"/>
          <w:b/>
          <w:iCs/>
          <w:szCs w:val="18"/>
        </w:rPr>
        <w:t xml:space="preserve"> adding</w:t>
      </w:r>
      <w:r w:rsidR="00637D49">
        <w:rPr>
          <w:rFonts w:eastAsiaTheme="minorHAnsi"/>
          <w:b/>
          <w:iCs/>
          <w:szCs w:val="18"/>
        </w:rPr>
        <w:t xml:space="preserve"> the reference to related NR test cases</w:t>
      </w:r>
      <w:r w:rsidR="00C018E1">
        <w:rPr>
          <w:rFonts w:eastAsiaTheme="minorHAnsi"/>
          <w:b/>
          <w:iCs/>
          <w:szCs w:val="18"/>
        </w:rPr>
        <w:t xml:space="preserve"> with additional clarification based on the </w:t>
      </w:r>
      <w:r w:rsidR="001A5013">
        <w:rPr>
          <w:rFonts w:eastAsiaTheme="minorHAnsi"/>
          <w:b/>
          <w:iCs/>
          <w:szCs w:val="18"/>
        </w:rPr>
        <w:t>different part in the core requirements between IAB-MT and NR</w:t>
      </w:r>
      <w:r w:rsidR="00C018E1">
        <w:rPr>
          <w:rFonts w:eastAsiaTheme="minorHAnsi"/>
          <w:b/>
          <w:iCs/>
          <w:szCs w:val="1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827"/>
        <w:gridCol w:w="3385"/>
      </w:tblGrid>
      <w:tr w:rsidR="00C018E1" w14:paraId="534CD196" w14:textId="77777777" w:rsidTr="00A578F7">
        <w:tc>
          <w:tcPr>
            <w:tcW w:w="6232" w:type="dxa"/>
            <w:gridSpan w:val="2"/>
          </w:tcPr>
          <w:p w14:paraId="2FF2967E" w14:textId="77777777" w:rsidR="00C018E1" w:rsidRPr="00773EF6" w:rsidRDefault="00C018E1" w:rsidP="00A578F7">
            <w:pPr>
              <w:ind w:right="-22"/>
              <w:contextualSpacing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r w:rsidRPr="00773EF6">
              <w:rPr>
                <w:rFonts w:eastAsia="Calibri" w:cs="Times New Roman"/>
                <w:b/>
                <w:bCs/>
                <w:szCs w:val="20"/>
                <w:lang w:val="en-GB"/>
              </w:rPr>
              <w:t>IAB-MT RRM core requirements</w:t>
            </w:r>
          </w:p>
        </w:tc>
        <w:tc>
          <w:tcPr>
            <w:tcW w:w="3385" w:type="dxa"/>
          </w:tcPr>
          <w:p w14:paraId="0884375E" w14:textId="1F525699" w:rsidR="00C018E1" w:rsidRPr="00773EF6" w:rsidRDefault="00C018E1" w:rsidP="00A578F7">
            <w:pPr>
              <w:ind w:right="-22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0"/>
                <w:lang w:val="en-GB"/>
              </w:rPr>
              <w:t>Test cases</w:t>
            </w:r>
          </w:p>
        </w:tc>
      </w:tr>
      <w:tr w:rsidR="00C018E1" w14:paraId="63CEC028" w14:textId="77777777" w:rsidTr="00A578F7">
        <w:tc>
          <w:tcPr>
            <w:tcW w:w="2405" w:type="dxa"/>
            <w:vMerge w:val="restart"/>
          </w:tcPr>
          <w:p w14:paraId="4511496C" w14:textId="77777777" w:rsidR="00C018E1" w:rsidRPr="00C77CD6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RRC Connected mode mobility</w:t>
            </w:r>
            <w:r>
              <w:rPr>
                <w:rFonts w:eastAsia="Calibri" w:cs="Times New Roman"/>
                <w:szCs w:val="20"/>
                <w:lang w:val="en-GB"/>
              </w:rPr>
              <w:t xml:space="preserve"> control</w:t>
            </w:r>
          </w:p>
        </w:tc>
        <w:tc>
          <w:tcPr>
            <w:tcW w:w="3827" w:type="dxa"/>
          </w:tcPr>
          <w:p w14:paraId="433A9D95" w14:textId="77777777" w:rsidR="00C018E1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 xml:space="preserve">RRC </w:t>
            </w:r>
            <w:r>
              <w:rPr>
                <w:rFonts w:eastAsia="Calibri" w:cs="Times New Roman"/>
                <w:szCs w:val="20"/>
                <w:lang w:val="en-GB"/>
              </w:rPr>
              <w:t>re-</w:t>
            </w:r>
            <w:r w:rsidRPr="00723574">
              <w:rPr>
                <w:rFonts w:eastAsia="Calibri" w:cs="Times New Roman"/>
                <w:szCs w:val="20"/>
                <w:lang w:val="en-GB"/>
              </w:rPr>
              <w:t>establishment</w:t>
            </w:r>
          </w:p>
        </w:tc>
        <w:tc>
          <w:tcPr>
            <w:tcW w:w="3385" w:type="dxa"/>
          </w:tcPr>
          <w:p w14:paraId="3ABC45CE" w14:textId="45FEB1C9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Add reference to related NR test cases with clarification that the delay in the test should be replaced according to the IAB-MT requirements.</w:t>
            </w:r>
          </w:p>
        </w:tc>
      </w:tr>
      <w:tr w:rsidR="00C018E1" w14:paraId="49A0B813" w14:textId="77777777" w:rsidTr="00A578F7">
        <w:tc>
          <w:tcPr>
            <w:tcW w:w="2405" w:type="dxa"/>
            <w:vMerge/>
          </w:tcPr>
          <w:p w14:paraId="0DAEB3F3" w14:textId="77777777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023A1699" w14:textId="77777777" w:rsidR="00C018E1" w:rsidRPr="00C77CD6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Random Access</w:t>
            </w:r>
          </w:p>
        </w:tc>
        <w:tc>
          <w:tcPr>
            <w:tcW w:w="3385" w:type="dxa"/>
          </w:tcPr>
          <w:p w14:paraId="09818A3B" w14:textId="0093ED2E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Add reference to related NR test cases </w:t>
            </w:r>
          </w:p>
        </w:tc>
      </w:tr>
      <w:tr w:rsidR="00C018E1" w14:paraId="2210CE6B" w14:textId="77777777" w:rsidTr="00A578F7">
        <w:tc>
          <w:tcPr>
            <w:tcW w:w="2405" w:type="dxa"/>
            <w:vMerge/>
          </w:tcPr>
          <w:p w14:paraId="35C29C0B" w14:textId="77777777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05E912D0" w14:textId="77777777" w:rsidR="00C018E1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RRC connection Release with redirection</w:t>
            </w:r>
          </w:p>
        </w:tc>
        <w:tc>
          <w:tcPr>
            <w:tcW w:w="3385" w:type="dxa"/>
          </w:tcPr>
          <w:p w14:paraId="59836D9C" w14:textId="0D207052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Add reference to related NR test cases with clarification that the </w:t>
            </w:r>
            <w:r>
              <w:rPr>
                <w:rFonts w:eastAsia="Calibri" w:cs="Times New Roman"/>
                <w:szCs w:val="20"/>
                <w:lang w:val="en-GB"/>
              </w:rPr>
              <w:t>delay</w:t>
            </w:r>
            <w:r>
              <w:rPr>
                <w:rFonts w:eastAsia="Calibri" w:cs="Times New Roman"/>
                <w:szCs w:val="20"/>
                <w:lang w:val="en-GB"/>
              </w:rPr>
              <w:t xml:space="preserve"> in the test should be replaced according to the IAB-MT requirements.</w:t>
            </w:r>
          </w:p>
        </w:tc>
      </w:tr>
      <w:tr w:rsidR="00C018E1" w14:paraId="6C545C6C" w14:textId="77777777" w:rsidTr="00A578F7">
        <w:tc>
          <w:tcPr>
            <w:tcW w:w="2405" w:type="dxa"/>
            <w:vMerge w:val="restart"/>
          </w:tcPr>
          <w:p w14:paraId="79CBA30D" w14:textId="77777777" w:rsidR="00C018E1" w:rsidRPr="00C77CD6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723574">
              <w:rPr>
                <w:rFonts w:eastAsia="Calibri" w:cs="Times New Roman"/>
                <w:szCs w:val="20"/>
                <w:lang w:val="en-GB"/>
              </w:rPr>
              <w:t>Timing</w:t>
            </w:r>
          </w:p>
        </w:tc>
        <w:tc>
          <w:tcPr>
            <w:tcW w:w="3827" w:type="dxa"/>
          </w:tcPr>
          <w:p w14:paraId="143B352B" w14:textId="77777777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IAB-MT </w:t>
            </w:r>
            <w:r w:rsidRPr="00723574">
              <w:rPr>
                <w:rFonts w:eastAsia="Calibri" w:cs="Times New Roman"/>
                <w:szCs w:val="20"/>
                <w:lang w:val="en-GB"/>
              </w:rPr>
              <w:t>transmit timing</w:t>
            </w:r>
          </w:p>
        </w:tc>
        <w:tc>
          <w:tcPr>
            <w:tcW w:w="3385" w:type="dxa"/>
          </w:tcPr>
          <w:p w14:paraId="3E736772" w14:textId="0A8FC592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Add reference to related NR test cases</w:t>
            </w:r>
            <w:r>
              <w:rPr>
                <w:rFonts w:eastAsia="Calibri" w:cs="Times New Roman"/>
                <w:szCs w:val="20"/>
                <w:lang w:val="en-GB"/>
              </w:rPr>
              <w:t xml:space="preserve"> </w:t>
            </w:r>
          </w:p>
        </w:tc>
      </w:tr>
      <w:tr w:rsidR="00C018E1" w14:paraId="30A3D43A" w14:textId="77777777" w:rsidTr="00A578F7">
        <w:tc>
          <w:tcPr>
            <w:tcW w:w="2405" w:type="dxa"/>
            <w:vMerge/>
          </w:tcPr>
          <w:p w14:paraId="7B6A9D88" w14:textId="77777777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442A65D0" w14:textId="77777777" w:rsidR="00C018E1" w:rsidRPr="00740DE8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IAB-MT</w:t>
            </w:r>
            <w:r w:rsidRPr="00723574">
              <w:rPr>
                <w:rFonts w:eastAsia="Calibri" w:cs="Times New Roman"/>
                <w:szCs w:val="20"/>
                <w:lang w:val="en-GB"/>
              </w:rPr>
              <w:t xml:space="preserve"> timing advance</w:t>
            </w:r>
          </w:p>
        </w:tc>
        <w:tc>
          <w:tcPr>
            <w:tcW w:w="3385" w:type="dxa"/>
          </w:tcPr>
          <w:p w14:paraId="2990BCB2" w14:textId="0CB2480F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Add reference to related NR test cases </w:t>
            </w:r>
          </w:p>
        </w:tc>
      </w:tr>
      <w:tr w:rsidR="00C018E1" w14:paraId="00D86A95" w14:textId="77777777" w:rsidTr="00A578F7">
        <w:tc>
          <w:tcPr>
            <w:tcW w:w="2405" w:type="dxa"/>
            <w:vMerge w:val="restart"/>
          </w:tcPr>
          <w:p w14:paraId="18118D90" w14:textId="77777777" w:rsidR="00C018E1" w:rsidRPr="00740DE8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 w:rsidRPr="00B869D9">
              <w:rPr>
                <w:rFonts w:eastAsia="Calibri" w:cs="Times New Roman"/>
                <w:szCs w:val="20"/>
                <w:lang w:val="en-GB"/>
              </w:rPr>
              <w:t>Signalling Characteristics</w:t>
            </w:r>
          </w:p>
        </w:tc>
        <w:tc>
          <w:tcPr>
            <w:tcW w:w="3827" w:type="dxa"/>
          </w:tcPr>
          <w:p w14:paraId="747094A4" w14:textId="77777777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Radio Link Monitoring</w:t>
            </w:r>
          </w:p>
        </w:tc>
        <w:tc>
          <w:tcPr>
            <w:tcW w:w="3385" w:type="dxa"/>
          </w:tcPr>
          <w:p w14:paraId="1E0354C9" w14:textId="3F18E6D0" w:rsidR="00C018E1" w:rsidRDefault="00DD6FE2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 xml:space="preserve">Add reference to related NR test cases with clarification that the </w:t>
            </w:r>
            <w:r>
              <w:rPr>
                <w:rFonts w:eastAsia="Calibri" w:cs="Times New Roman"/>
                <w:szCs w:val="20"/>
                <w:lang w:val="en-GB"/>
              </w:rPr>
              <w:t>evaluation period</w:t>
            </w:r>
            <w:r>
              <w:rPr>
                <w:rFonts w:eastAsia="Calibri" w:cs="Times New Roman"/>
                <w:szCs w:val="20"/>
                <w:lang w:val="en-GB"/>
              </w:rPr>
              <w:t xml:space="preserve"> in the test should be replaced according to the IAB-MT requirements.</w:t>
            </w:r>
          </w:p>
        </w:tc>
      </w:tr>
      <w:tr w:rsidR="00C018E1" w14:paraId="453AB86C" w14:textId="77777777" w:rsidTr="00A578F7">
        <w:tc>
          <w:tcPr>
            <w:tcW w:w="2405" w:type="dxa"/>
            <w:vMerge/>
          </w:tcPr>
          <w:p w14:paraId="097D7527" w14:textId="77777777" w:rsidR="00C018E1" w:rsidRDefault="00C018E1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 w14:paraId="2D04144A" w14:textId="77777777" w:rsidR="00C018E1" w:rsidRDefault="00C018E1" w:rsidP="00A578F7">
            <w:pPr>
              <w:ind w:right="-22"/>
              <w:contextualSpacing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Beam Failure Detection and Link Recovery procedures</w:t>
            </w:r>
            <w:r w:rsidRPr="00723574">
              <w:rPr>
                <w:rFonts w:eastAsia="Calibri" w:cs="Times New Roman"/>
                <w:szCs w:val="20"/>
                <w:lang w:val="en-GB"/>
              </w:rPr>
              <w:t xml:space="preserve"> </w:t>
            </w:r>
          </w:p>
        </w:tc>
        <w:tc>
          <w:tcPr>
            <w:tcW w:w="3385" w:type="dxa"/>
          </w:tcPr>
          <w:p w14:paraId="108B25ED" w14:textId="18DE0A04" w:rsidR="00C018E1" w:rsidRDefault="00DD6FE2" w:rsidP="00A578F7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Add reference to related NR test cases with clarification that the evaluation period in the test should be replaced according to the IAB-MT requirements.</w:t>
            </w:r>
          </w:p>
        </w:tc>
      </w:tr>
    </w:tbl>
    <w:p w14:paraId="7E481FA2" w14:textId="77777777" w:rsidR="00C018E1" w:rsidRDefault="00C018E1" w:rsidP="00C018E1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0F6D82B5" w14:textId="2EB61F73" w:rsidR="001E26C2" w:rsidRDefault="001E26C2" w:rsidP="001E26C2">
      <w:pPr>
        <w:rPr>
          <w:lang w:val="en-GB"/>
        </w:rPr>
      </w:pPr>
      <w:r>
        <w:rPr>
          <w:lang w:val="en-GB"/>
        </w:rPr>
        <w:t xml:space="preserve">NR RRM test cases are specified </w:t>
      </w:r>
      <w:r w:rsidR="006B0901">
        <w:rPr>
          <w:lang w:val="en-GB"/>
        </w:rPr>
        <w:t>in</w:t>
      </w:r>
      <w:r>
        <w:rPr>
          <w:lang w:val="en-GB"/>
        </w:rPr>
        <w:t xml:space="preserve"> Annex A in 38.133 where the RRM core requirements are specified. It should be no difference approach for IAB-MT RRM test cases. </w:t>
      </w:r>
      <w:r w:rsidR="006B0901">
        <w:rPr>
          <w:lang w:val="en-GB"/>
        </w:rPr>
        <w:t>New Annex will be added in TS 38.174 to specify the requirements for IAB-MT RRM test cases.</w:t>
      </w:r>
    </w:p>
    <w:p w14:paraId="517F07FD" w14:textId="63CB153F" w:rsidR="00724D26" w:rsidRDefault="00460D60" w:rsidP="00C30B52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r>
        <w:rPr>
          <w:rFonts w:eastAsiaTheme="minorHAnsi"/>
          <w:b/>
          <w:iCs/>
          <w:szCs w:val="18"/>
        </w:rPr>
        <w:t>Create a new Annex in TS 38.174 for</w:t>
      </w:r>
      <w:r w:rsidR="001E26C2">
        <w:rPr>
          <w:rFonts w:eastAsiaTheme="minorHAnsi"/>
          <w:b/>
          <w:iCs/>
          <w:szCs w:val="18"/>
        </w:rPr>
        <w:t xml:space="preserve"> IAB-MT RRM test cases</w:t>
      </w:r>
    </w:p>
    <w:p w14:paraId="08545E7D" w14:textId="77777777" w:rsidR="00173970" w:rsidRPr="00723574" w:rsidRDefault="00173970" w:rsidP="00173970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44F4464B" w14:textId="77777777" w:rsidR="00CD7492" w:rsidRDefault="00CD7492" w:rsidP="00A37002">
      <w:pPr>
        <w:pStyle w:val="RAN4H1"/>
      </w:pPr>
      <w:r w:rsidRPr="00A37002">
        <w:lastRenderedPageBreak/>
        <w:t>Conclusion</w:t>
      </w:r>
    </w:p>
    <w:p w14:paraId="6A397892" w14:textId="2D8263EF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</w:t>
      </w:r>
      <w:r w:rsidR="00723574">
        <w:rPr>
          <w:lang w:val="en-GB"/>
        </w:rPr>
        <w:t xml:space="preserve">how to approach the task of defining IAB RRM test cases. </w:t>
      </w:r>
      <w:r w:rsidRPr="00B02B34">
        <w:rPr>
          <w:lang w:val="en-GB"/>
        </w:rPr>
        <w:t>We have made the following proposals:</w:t>
      </w:r>
    </w:p>
    <w:p w14:paraId="7F0EE5D9" w14:textId="77777777" w:rsidR="004A2E36" w:rsidRPr="004A2E36" w:rsidRDefault="004A2E36" w:rsidP="004A2E36">
      <w:pPr>
        <w:pStyle w:val="RAN4proposal"/>
        <w:numPr>
          <w:ilvl w:val="0"/>
          <w:numId w:val="12"/>
        </w:numPr>
        <w:rPr>
          <w:rFonts w:eastAsiaTheme="minorHAnsi"/>
        </w:rPr>
      </w:pPr>
      <w:r w:rsidRPr="004A2E36">
        <w:rPr>
          <w:rFonts w:eastAsiaTheme="minorHAnsi"/>
        </w:rPr>
        <w:t>Test cases for IAB RRM requirements will be defined only for IAB-MT.</w:t>
      </w:r>
    </w:p>
    <w:p w14:paraId="6A241050" w14:textId="77777777" w:rsidR="004A2E36" w:rsidRPr="004A2E36" w:rsidRDefault="004A2E36" w:rsidP="004A2E36">
      <w:pPr>
        <w:pStyle w:val="RAN4proposal"/>
        <w:numPr>
          <w:ilvl w:val="0"/>
          <w:numId w:val="12"/>
        </w:numPr>
        <w:rPr>
          <w:rFonts w:eastAsiaTheme="minorHAnsi"/>
        </w:rPr>
      </w:pPr>
      <w:r w:rsidRPr="004A2E36">
        <w:rPr>
          <w:rFonts w:eastAsiaTheme="minorHAnsi"/>
        </w:rPr>
        <w:t>Use NR RRM test cases as baseline for IAB-MT RRM test cases.</w:t>
      </w:r>
    </w:p>
    <w:p w14:paraId="74F025DD" w14:textId="77777777" w:rsidR="001A5013" w:rsidRPr="001A5013" w:rsidRDefault="001A5013" w:rsidP="001A5013">
      <w:pPr>
        <w:pStyle w:val="RAN4proposal"/>
        <w:numPr>
          <w:ilvl w:val="0"/>
          <w:numId w:val="12"/>
        </w:numPr>
        <w:rPr>
          <w:rFonts w:eastAsiaTheme="minorHAnsi"/>
        </w:rPr>
      </w:pPr>
      <w:r w:rsidRPr="001A5013">
        <w:rPr>
          <w:rFonts w:eastAsiaTheme="minorHAnsi"/>
        </w:rPr>
        <w:t>Specify IAB-MT RRM test cases with adding the reference to related NR test cases with additional clarification based on the different part in the core requirements between IAB-MT and NR.</w:t>
      </w:r>
    </w:p>
    <w:p w14:paraId="3532103E" w14:textId="77777777" w:rsidR="00460D60" w:rsidRPr="00460D60" w:rsidRDefault="00460D60" w:rsidP="00460D60">
      <w:pPr>
        <w:pStyle w:val="RAN4proposal"/>
        <w:numPr>
          <w:ilvl w:val="0"/>
          <w:numId w:val="12"/>
        </w:numPr>
        <w:rPr>
          <w:rFonts w:eastAsiaTheme="minorHAnsi"/>
        </w:rPr>
      </w:pPr>
      <w:bookmarkStart w:id="3" w:name="_GoBack"/>
      <w:bookmarkEnd w:id="3"/>
      <w:r w:rsidRPr="00460D60">
        <w:rPr>
          <w:rFonts w:eastAsiaTheme="minorHAnsi"/>
        </w:rPr>
        <w:t>Create a new Annex in TS 38.174 for IAB-MT RRM test cases</w:t>
      </w:r>
    </w:p>
    <w:p w14:paraId="0E790BF6" w14:textId="77777777" w:rsidR="007F6E7A" w:rsidRPr="00460D60" w:rsidRDefault="007F6E7A" w:rsidP="007F6E7A"/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25896C5" w14:textId="31E371A7" w:rsidR="00CE0137" w:rsidRPr="00D23E6E" w:rsidRDefault="00527C1F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527C1F">
        <w:rPr>
          <w:lang w:val="en-GB"/>
        </w:rPr>
        <w:t>RP-201756</w:t>
      </w:r>
      <w:r w:rsidR="00CD3C09">
        <w:rPr>
          <w:lang w:val="en-GB"/>
        </w:rPr>
        <w:tab/>
      </w:r>
      <w:proofErr w:type="spellStart"/>
      <w:r w:rsidRPr="00527C1F">
        <w:rPr>
          <w:lang w:val="en-GB"/>
        </w:rPr>
        <w:t>revised_WID_NR_IAB</w:t>
      </w:r>
      <w:proofErr w:type="spellEnd"/>
      <w:r w:rsidR="00315DD2">
        <w:t xml:space="preserve">, </w:t>
      </w:r>
      <w:r w:rsidRPr="00527C1F">
        <w:t>Qualcomm</w:t>
      </w:r>
    </w:p>
    <w:p w14:paraId="7D8BE4BD" w14:textId="45EAD1EF" w:rsidR="00D23E6E" w:rsidRPr="00382B66" w:rsidRDefault="00D23E6E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t>TS 38.174 v16.0.0</w:t>
      </w:r>
    </w:p>
    <w:p w14:paraId="5C848B4C" w14:textId="74B210AA" w:rsidR="00382B66" w:rsidRPr="00387971" w:rsidRDefault="00382B66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t>TS 38.133 v16.5.0</w:t>
      </w:r>
    </w:p>
    <w:sectPr w:rsidR="00382B66" w:rsidRPr="0038797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B05DC" w14:textId="77777777" w:rsidR="00D82202" w:rsidRDefault="00D82202" w:rsidP="00001C9B">
      <w:pPr>
        <w:spacing w:after="0" w:line="240" w:lineRule="auto"/>
      </w:pPr>
      <w:r>
        <w:separator/>
      </w:r>
    </w:p>
  </w:endnote>
  <w:endnote w:type="continuationSeparator" w:id="0">
    <w:p w14:paraId="22EB5382" w14:textId="77777777" w:rsidR="00D82202" w:rsidRDefault="00D8220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963DC" w14:textId="77777777" w:rsidR="00D82202" w:rsidRDefault="00D82202" w:rsidP="00001C9B">
      <w:pPr>
        <w:spacing w:after="0" w:line="240" w:lineRule="auto"/>
      </w:pPr>
      <w:r>
        <w:separator/>
      </w:r>
    </w:p>
  </w:footnote>
  <w:footnote w:type="continuationSeparator" w:id="0">
    <w:p w14:paraId="00B082D0" w14:textId="77777777" w:rsidR="00D82202" w:rsidRDefault="00D8220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6C0A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42D2E"/>
    <w:multiLevelType w:val="hybridMultilevel"/>
    <w:tmpl w:val="EF1CC27A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E5B68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64FAE"/>
    <w:multiLevelType w:val="hybridMultilevel"/>
    <w:tmpl w:val="C1C68146"/>
    <w:lvl w:ilvl="0" w:tplc="D86A1BC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3115A"/>
    <w:multiLevelType w:val="hybridMultilevel"/>
    <w:tmpl w:val="C042248C"/>
    <w:lvl w:ilvl="0" w:tplc="68481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84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46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7EC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C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83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3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4A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A10B12"/>
    <w:multiLevelType w:val="hybridMultilevel"/>
    <w:tmpl w:val="DD76B882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361DC"/>
    <w:multiLevelType w:val="hybridMultilevel"/>
    <w:tmpl w:val="033C93E0"/>
    <w:lvl w:ilvl="0" w:tplc="6202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2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2C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CF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4D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63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6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29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5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D719BF"/>
    <w:multiLevelType w:val="hybridMultilevel"/>
    <w:tmpl w:val="F8FA3A00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0D39AE"/>
    <w:multiLevelType w:val="hybridMultilevel"/>
    <w:tmpl w:val="670238C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21349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23603"/>
    <w:multiLevelType w:val="hybridMultilevel"/>
    <w:tmpl w:val="91AC0F30"/>
    <w:lvl w:ilvl="0" w:tplc="0D9A5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48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A6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E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4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0C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1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8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000E6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6D95924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FC630F"/>
    <w:multiLevelType w:val="hybridMultilevel"/>
    <w:tmpl w:val="0552996C"/>
    <w:lvl w:ilvl="0" w:tplc="69F69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5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08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85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2A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6B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A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863D71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671D6"/>
    <w:multiLevelType w:val="hybridMultilevel"/>
    <w:tmpl w:val="E29288FC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7"/>
  </w:num>
  <w:num w:numId="5">
    <w:abstractNumId w:val="4"/>
  </w:num>
  <w:num w:numId="6">
    <w:abstractNumId w:val="9"/>
  </w:num>
  <w:num w:numId="7">
    <w:abstractNumId w:val="14"/>
    <w:lvlOverride w:ilvl="0">
      <w:startOverride w:val="1"/>
    </w:lvlOverride>
  </w:num>
  <w:num w:numId="8">
    <w:abstractNumId w:val="12"/>
  </w:num>
  <w:num w:numId="9">
    <w:abstractNumId w:val="7"/>
  </w:num>
  <w:num w:numId="10">
    <w:abstractNumId w:val="5"/>
  </w:num>
  <w:num w:numId="11">
    <w:abstractNumId w:val="19"/>
  </w:num>
  <w:num w:numId="12">
    <w:abstractNumId w:val="14"/>
    <w:lvlOverride w:ilvl="0">
      <w:startOverride w:val="1"/>
    </w:lvlOverride>
  </w:num>
  <w:num w:numId="13">
    <w:abstractNumId w:val="0"/>
  </w:num>
  <w:num w:numId="14">
    <w:abstractNumId w:val="10"/>
  </w:num>
  <w:num w:numId="15">
    <w:abstractNumId w:val="2"/>
  </w:num>
  <w:num w:numId="16">
    <w:abstractNumId w:val="20"/>
  </w:num>
  <w:num w:numId="17">
    <w:abstractNumId w:val="16"/>
  </w:num>
  <w:num w:numId="18">
    <w:abstractNumId w:val="8"/>
  </w:num>
  <w:num w:numId="19">
    <w:abstractNumId w:val="6"/>
  </w:num>
  <w:num w:numId="20">
    <w:abstractNumId w:val="18"/>
  </w:num>
  <w:num w:numId="21">
    <w:abstractNumId w:val="11"/>
  </w:num>
  <w:num w:numId="22">
    <w:abstractNumId w:val="21"/>
  </w:num>
  <w:num w:numId="23">
    <w:abstractNumId w:val="1"/>
  </w:num>
  <w:num w:numId="2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3EC8"/>
    <w:rsid w:val="00014930"/>
    <w:rsid w:val="00015375"/>
    <w:rsid w:val="000306AA"/>
    <w:rsid w:val="00031DDA"/>
    <w:rsid w:val="0003658C"/>
    <w:rsid w:val="0003689C"/>
    <w:rsid w:val="00040687"/>
    <w:rsid w:val="00070045"/>
    <w:rsid w:val="0007121B"/>
    <w:rsid w:val="000733A5"/>
    <w:rsid w:val="0008612A"/>
    <w:rsid w:val="000A6AF7"/>
    <w:rsid w:val="000A6C14"/>
    <w:rsid w:val="000B0056"/>
    <w:rsid w:val="000B3851"/>
    <w:rsid w:val="000B765D"/>
    <w:rsid w:val="000D242F"/>
    <w:rsid w:val="000D2C5F"/>
    <w:rsid w:val="000F1716"/>
    <w:rsid w:val="000F4183"/>
    <w:rsid w:val="000F506F"/>
    <w:rsid w:val="00111F4C"/>
    <w:rsid w:val="00115042"/>
    <w:rsid w:val="00120DC9"/>
    <w:rsid w:val="00122FFC"/>
    <w:rsid w:val="00130041"/>
    <w:rsid w:val="001546B8"/>
    <w:rsid w:val="00162DFC"/>
    <w:rsid w:val="00164C74"/>
    <w:rsid w:val="00173970"/>
    <w:rsid w:val="00173997"/>
    <w:rsid w:val="001745F8"/>
    <w:rsid w:val="00175A2F"/>
    <w:rsid w:val="001838CD"/>
    <w:rsid w:val="001838CF"/>
    <w:rsid w:val="00195D39"/>
    <w:rsid w:val="001A3BA4"/>
    <w:rsid w:val="001A5013"/>
    <w:rsid w:val="001B7147"/>
    <w:rsid w:val="001E26C2"/>
    <w:rsid w:val="001E30F6"/>
    <w:rsid w:val="0020227E"/>
    <w:rsid w:val="00203104"/>
    <w:rsid w:val="00206422"/>
    <w:rsid w:val="00235F5C"/>
    <w:rsid w:val="00237498"/>
    <w:rsid w:val="00247CDF"/>
    <w:rsid w:val="00255DEB"/>
    <w:rsid w:val="00275F08"/>
    <w:rsid w:val="002B1E33"/>
    <w:rsid w:val="002B32D9"/>
    <w:rsid w:val="002B4922"/>
    <w:rsid w:val="002C1BC0"/>
    <w:rsid w:val="002C2D19"/>
    <w:rsid w:val="002C5B8E"/>
    <w:rsid w:val="002D10FA"/>
    <w:rsid w:val="002D14DE"/>
    <w:rsid w:val="002D4C55"/>
    <w:rsid w:val="002D5887"/>
    <w:rsid w:val="00302F8C"/>
    <w:rsid w:val="00305A9B"/>
    <w:rsid w:val="00315DD2"/>
    <w:rsid w:val="00316102"/>
    <w:rsid w:val="00326A0E"/>
    <w:rsid w:val="0033140B"/>
    <w:rsid w:val="003360C2"/>
    <w:rsid w:val="00342243"/>
    <w:rsid w:val="00352070"/>
    <w:rsid w:val="003718C4"/>
    <w:rsid w:val="003804ED"/>
    <w:rsid w:val="00382B66"/>
    <w:rsid w:val="00387971"/>
    <w:rsid w:val="003A736A"/>
    <w:rsid w:val="003A7949"/>
    <w:rsid w:val="003B659E"/>
    <w:rsid w:val="003E0246"/>
    <w:rsid w:val="003E0263"/>
    <w:rsid w:val="00404FA3"/>
    <w:rsid w:val="00413D4B"/>
    <w:rsid w:val="00413E29"/>
    <w:rsid w:val="00417770"/>
    <w:rsid w:val="004321D6"/>
    <w:rsid w:val="0043750A"/>
    <w:rsid w:val="004541F2"/>
    <w:rsid w:val="00460D60"/>
    <w:rsid w:val="00464393"/>
    <w:rsid w:val="004670C1"/>
    <w:rsid w:val="00471DB0"/>
    <w:rsid w:val="004754A6"/>
    <w:rsid w:val="004A2E36"/>
    <w:rsid w:val="004A3B28"/>
    <w:rsid w:val="004D744A"/>
    <w:rsid w:val="004E0AEF"/>
    <w:rsid w:val="004E5E66"/>
    <w:rsid w:val="005017F5"/>
    <w:rsid w:val="00503B4D"/>
    <w:rsid w:val="00504EE9"/>
    <w:rsid w:val="005263D1"/>
    <w:rsid w:val="00527C1F"/>
    <w:rsid w:val="00543ADC"/>
    <w:rsid w:val="0054442C"/>
    <w:rsid w:val="00550285"/>
    <w:rsid w:val="0055679E"/>
    <w:rsid w:val="00564E55"/>
    <w:rsid w:val="005736C1"/>
    <w:rsid w:val="00574324"/>
    <w:rsid w:val="00576356"/>
    <w:rsid w:val="005824C3"/>
    <w:rsid w:val="005836F8"/>
    <w:rsid w:val="005918FA"/>
    <w:rsid w:val="005A46C0"/>
    <w:rsid w:val="005B7E55"/>
    <w:rsid w:val="005C23A4"/>
    <w:rsid w:val="005D1CDF"/>
    <w:rsid w:val="005D4789"/>
    <w:rsid w:val="005E61A8"/>
    <w:rsid w:val="005F6419"/>
    <w:rsid w:val="006067AF"/>
    <w:rsid w:val="00616DAF"/>
    <w:rsid w:val="00617400"/>
    <w:rsid w:val="00627AC4"/>
    <w:rsid w:val="00637D49"/>
    <w:rsid w:val="00652AC1"/>
    <w:rsid w:val="00664950"/>
    <w:rsid w:val="006775B6"/>
    <w:rsid w:val="00683220"/>
    <w:rsid w:val="00687FA0"/>
    <w:rsid w:val="0069428B"/>
    <w:rsid w:val="006972DE"/>
    <w:rsid w:val="006A21E2"/>
    <w:rsid w:val="006A337F"/>
    <w:rsid w:val="006B0901"/>
    <w:rsid w:val="006B4912"/>
    <w:rsid w:val="006B7010"/>
    <w:rsid w:val="006C6632"/>
    <w:rsid w:val="006D374C"/>
    <w:rsid w:val="006D6296"/>
    <w:rsid w:val="006F0CFC"/>
    <w:rsid w:val="006F415D"/>
    <w:rsid w:val="006F62AE"/>
    <w:rsid w:val="00703A5B"/>
    <w:rsid w:val="00710835"/>
    <w:rsid w:val="00711C32"/>
    <w:rsid w:val="00711FBF"/>
    <w:rsid w:val="007141C8"/>
    <w:rsid w:val="007145FF"/>
    <w:rsid w:val="00720CD0"/>
    <w:rsid w:val="00723574"/>
    <w:rsid w:val="00724D26"/>
    <w:rsid w:val="00730AF6"/>
    <w:rsid w:val="007325FE"/>
    <w:rsid w:val="00733B44"/>
    <w:rsid w:val="00740DE8"/>
    <w:rsid w:val="00740FE5"/>
    <w:rsid w:val="00743D09"/>
    <w:rsid w:val="00750902"/>
    <w:rsid w:val="00751515"/>
    <w:rsid w:val="007669A7"/>
    <w:rsid w:val="0076769C"/>
    <w:rsid w:val="00773EF6"/>
    <w:rsid w:val="00785232"/>
    <w:rsid w:val="007877FB"/>
    <w:rsid w:val="007A5945"/>
    <w:rsid w:val="007A6E80"/>
    <w:rsid w:val="007A751F"/>
    <w:rsid w:val="007B29C6"/>
    <w:rsid w:val="007C3ED0"/>
    <w:rsid w:val="007E3D19"/>
    <w:rsid w:val="007F6E7A"/>
    <w:rsid w:val="007F7423"/>
    <w:rsid w:val="00801AF4"/>
    <w:rsid w:val="00806A76"/>
    <w:rsid w:val="00811C9D"/>
    <w:rsid w:val="008139E8"/>
    <w:rsid w:val="00816C80"/>
    <w:rsid w:val="008178EA"/>
    <w:rsid w:val="00841BCD"/>
    <w:rsid w:val="008448CC"/>
    <w:rsid w:val="00851A8E"/>
    <w:rsid w:val="00860184"/>
    <w:rsid w:val="00864888"/>
    <w:rsid w:val="00866A89"/>
    <w:rsid w:val="00867453"/>
    <w:rsid w:val="008826C1"/>
    <w:rsid w:val="00887467"/>
    <w:rsid w:val="008A0151"/>
    <w:rsid w:val="008B5BFD"/>
    <w:rsid w:val="008B63EC"/>
    <w:rsid w:val="008C5BDA"/>
    <w:rsid w:val="008C754A"/>
    <w:rsid w:val="008F0DB4"/>
    <w:rsid w:val="008F1B16"/>
    <w:rsid w:val="0090091A"/>
    <w:rsid w:val="009042BD"/>
    <w:rsid w:val="009048F8"/>
    <w:rsid w:val="00926BA4"/>
    <w:rsid w:val="00935FFF"/>
    <w:rsid w:val="00943933"/>
    <w:rsid w:val="00950577"/>
    <w:rsid w:val="00977E1D"/>
    <w:rsid w:val="00990419"/>
    <w:rsid w:val="00995625"/>
    <w:rsid w:val="009C3333"/>
    <w:rsid w:val="009C7379"/>
    <w:rsid w:val="00A10540"/>
    <w:rsid w:val="00A20149"/>
    <w:rsid w:val="00A22B78"/>
    <w:rsid w:val="00A25AE5"/>
    <w:rsid w:val="00A33070"/>
    <w:rsid w:val="00A36FA8"/>
    <w:rsid w:val="00A37002"/>
    <w:rsid w:val="00A4376C"/>
    <w:rsid w:val="00A51960"/>
    <w:rsid w:val="00A51E2F"/>
    <w:rsid w:val="00A51F0E"/>
    <w:rsid w:val="00A953D5"/>
    <w:rsid w:val="00A95DE0"/>
    <w:rsid w:val="00AA1B0E"/>
    <w:rsid w:val="00AC5CA7"/>
    <w:rsid w:val="00AE0ED3"/>
    <w:rsid w:val="00AE0F60"/>
    <w:rsid w:val="00AE1BBB"/>
    <w:rsid w:val="00AE56B1"/>
    <w:rsid w:val="00AE7B45"/>
    <w:rsid w:val="00AF37B6"/>
    <w:rsid w:val="00B017FF"/>
    <w:rsid w:val="00B02B34"/>
    <w:rsid w:val="00B06216"/>
    <w:rsid w:val="00B073FE"/>
    <w:rsid w:val="00B13863"/>
    <w:rsid w:val="00B16D71"/>
    <w:rsid w:val="00B31EBA"/>
    <w:rsid w:val="00B3260E"/>
    <w:rsid w:val="00B33626"/>
    <w:rsid w:val="00B365AF"/>
    <w:rsid w:val="00B4335F"/>
    <w:rsid w:val="00B71AB8"/>
    <w:rsid w:val="00B73862"/>
    <w:rsid w:val="00B869D9"/>
    <w:rsid w:val="00B91230"/>
    <w:rsid w:val="00BA6E48"/>
    <w:rsid w:val="00BB462D"/>
    <w:rsid w:val="00BB5E57"/>
    <w:rsid w:val="00BB7C01"/>
    <w:rsid w:val="00BE40FB"/>
    <w:rsid w:val="00BF2218"/>
    <w:rsid w:val="00BF3C74"/>
    <w:rsid w:val="00C018E1"/>
    <w:rsid w:val="00C0485C"/>
    <w:rsid w:val="00C10470"/>
    <w:rsid w:val="00C244A0"/>
    <w:rsid w:val="00C27920"/>
    <w:rsid w:val="00C30B52"/>
    <w:rsid w:val="00C35922"/>
    <w:rsid w:val="00C42E4F"/>
    <w:rsid w:val="00C71093"/>
    <w:rsid w:val="00C7686A"/>
    <w:rsid w:val="00C77CD6"/>
    <w:rsid w:val="00C85B5D"/>
    <w:rsid w:val="00C872B8"/>
    <w:rsid w:val="00C95173"/>
    <w:rsid w:val="00C95314"/>
    <w:rsid w:val="00CD3C09"/>
    <w:rsid w:val="00CD7492"/>
    <w:rsid w:val="00CD7B70"/>
    <w:rsid w:val="00CE0137"/>
    <w:rsid w:val="00CE3A6B"/>
    <w:rsid w:val="00CF334E"/>
    <w:rsid w:val="00D00211"/>
    <w:rsid w:val="00D02584"/>
    <w:rsid w:val="00D06309"/>
    <w:rsid w:val="00D077E5"/>
    <w:rsid w:val="00D07A89"/>
    <w:rsid w:val="00D1114A"/>
    <w:rsid w:val="00D2108B"/>
    <w:rsid w:val="00D23E6E"/>
    <w:rsid w:val="00D351EA"/>
    <w:rsid w:val="00D43403"/>
    <w:rsid w:val="00D54EFE"/>
    <w:rsid w:val="00D558AF"/>
    <w:rsid w:val="00D62E71"/>
    <w:rsid w:val="00D740CA"/>
    <w:rsid w:val="00D82202"/>
    <w:rsid w:val="00D8402D"/>
    <w:rsid w:val="00D85728"/>
    <w:rsid w:val="00D916E4"/>
    <w:rsid w:val="00D91857"/>
    <w:rsid w:val="00DC7DAD"/>
    <w:rsid w:val="00DD3E18"/>
    <w:rsid w:val="00DD55C7"/>
    <w:rsid w:val="00DD6FE2"/>
    <w:rsid w:val="00DF2997"/>
    <w:rsid w:val="00E02456"/>
    <w:rsid w:val="00E06DED"/>
    <w:rsid w:val="00E0782B"/>
    <w:rsid w:val="00E13BA2"/>
    <w:rsid w:val="00E1544A"/>
    <w:rsid w:val="00E27A54"/>
    <w:rsid w:val="00E32E79"/>
    <w:rsid w:val="00E474C8"/>
    <w:rsid w:val="00E70BC1"/>
    <w:rsid w:val="00E70EF5"/>
    <w:rsid w:val="00E76531"/>
    <w:rsid w:val="00E85425"/>
    <w:rsid w:val="00E95EE1"/>
    <w:rsid w:val="00EB07C4"/>
    <w:rsid w:val="00EC7BC3"/>
    <w:rsid w:val="00ED7600"/>
    <w:rsid w:val="00EE5757"/>
    <w:rsid w:val="00EE58A9"/>
    <w:rsid w:val="00F079E6"/>
    <w:rsid w:val="00F1362C"/>
    <w:rsid w:val="00F568BC"/>
    <w:rsid w:val="00F6251E"/>
    <w:rsid w:val="00F65941"/>
    <w:rsid w:val="00F73481"/>
    <w:rsid w:val="00F824F5"/>
    <w:rsid w:val="00F9430F"/>
    <w:rsid w:val="00FA5962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30B5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547F6-7FF5-4CBC-99FC-CF3BE46EA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181</cp:revision>
  <dcterms:created xsi:type="dcterms:W3CDTF">2019-06-10T11:05:00Z</dcterms:created>
  <dcterms:modified xsi:type="dcterms:W3CDTF">2020-10-23T19:01:00Z</dcterms:modified>
</cp:coreProperties>
</file>